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ATAS/228/2019 vom 20. März 2019</w:t>
      </w:r>
    </w:p>
    <w:p>
      <w:r>
        <w:t>GE Cour de justice, 2019-03-20, FR</w:t>
      </w:r>
    </w:p>
    <w:p>
      <w:r>
        <w:rPr>
          <w:b/>
        </w:rPr>
        <w:t xml:space="preserve">Quelle: </w:t>
      </w:r>
      <w:r>
        <w:t>https://mcp.opencaselaw.ch/entscheid/ge_gerichte_ATAS_228_2019</w:t>
      </w:r>
    </w:p>
    <w:p>
      <w:r>
        <w:t>FR: GE_GERICHTE ATAS/228/2019 du 20 mars 2019</w:t>
      </w:r>
    </w:p>
    <w:p>
      <w:r>
        <w:t>IT: GE_GERICHTE ATAS/228/2019 del 20 marzo 2019</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w:t>
      </w:r>
    </w:p>
    <w:p>
      <w:r>
        <w:rPr>
          <w:b/>
        </w:rPr>
        <w:t>E. 3</w:t>
      </w:r>
    </w:p>
    <w:p>
      <w:r>
        <w:t>Le présent litige porte sur le droit du recourant aux prestations complémentaires et, plus particulièrement, sur la question de savoir si l’intimé était légitimé à refuser d’entrer en matière sur sa demande de prestations en raison du défaut d’autorisation de séjour valable.</w:t>
      </w:r>
    </w:p>
    <w:p>
      <w:r>
        <w:rPr>
          <w:b/>
        </w:rPr>
        <w:t>E. 4</w:t>
      </w:r>
    </w:p>
    <w:p>
      <w:r>
        <w:t>Sur le plan matériel, sont en principe applicables les règles de droit en vigueur au moment où les faits juridiquement déterminants se sont produits (ATF 129 V 1 consid. 1.2; ATF 127 V 466 consid. 1 et les références). Partant, la situation du demandeur doit être examinée à l’aune des dispositions en vigueur jusqu'en juin 2018, date de la décision querellée.</w:t>
      </w:r>
    </w:p>
    <w:p>
      <w:r>
        <w:t>A/2456/2018 - 4/6 -</w:t>
      </w:r>
    </w:p>
    <w:p>
      <w:r>
        <w:rPr>
          <w:b/>
        </w:rPr>
        <w:t>E. 5</w:t>
      </w:r>
    </w:p>
    <w:p>
      <w:r>
        <w:t>L’une des conditions d’octroi des prestations complémentaires est d’avoir son domicile et sa résidence habituelle en Suisse, respectivement dans le canton de Genève (art. 4 al. 1 LPC; art. 1 let. a LPFC; art. 2 al. 1 let. a LPCC; art. 36A al. 1 let. a LPCC). Pour les prestations complémentaires fédérales (ci-après PCF), l’art. 5 al. 1 et 2 LPC, dans sa teneur jusqu'au 30 juin 2018, prévoyait que les étrangers doivent avoir résidé en Suisse de manière ininterrompue pendant les dix années précédant immédiatement la date à laquelle ils demandent la prestation, le délai de carence étant ramené à cinq ans pour les réfugiés et apatrides. Sont exceptés les ressortissants étrangers des États de l’Union européenne (ci-après : UE) ou de l’Association européenne de libre-échange (ci-après : AELE), pour autant qu’ils aient leur domicile et leur résidence habituelle en Suisse (Michel VALTERIO, Commentaire LPC, n. 1 ss ad art. 5). L’art. 1 let. a LPFC précise, s’agissant des prestations complémentaires fédérales, qu’y ont droit les personnes qui ont leur domicile sur le territoire de la République et canton de Genève, dans la perspective de préciser le canton en charge d’allouer et verser les PCF. Dans sa teneur actuelle, en vigueur depuis le 1er juillet 2018, l’art. 5 al. 1 LPC précise que les étrangers n’ont droit à des prestations complémentaires que s’ils séjournent de manière légale en Suisse. Concernant les prestations complémentaires cantonales (ci-après PCC), pour les requérants suisses ou ressortissants de l’un des États membres de l'AELE ou de l’UE, l’art. 2 al. 2 LPCC prévoit un délai de carence de cinq ans de domicile et de résidence en Suisse ou sur le territoire d’un État membre de l’AELE ou de l’UE sur les sept années précédant le dépôt de la demande de PCC, et l’art. 2 al. 3 LPCC exige, pour les autres étrangers, les réfugiés et les apatrides, un domicile et une résidence effective dans le canton de Genève, sans interruption, durant les dix années précédant le dépôt de la demande de PCC. Pour la computation du délai de carence prévu par la LPC, la jurisprudence fédérale retient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Comme la chambre de céans l’a développé dans un arrêt rendu en plénum (ATAS/748/2017 du 31 août 2017), il s’agit d’une jurisprudence constante, qui vaut aussi pour les PCC, compte tenu des motifs qui l’étayent ainsi que de la volonté du législateur genevois d’aligner le régime genevois des prestations complémentaires sur le régime fédéral (ATAS/748/2017 précité consid. 8). Dans cet arrêt de principe, la chambre de céans a jugé que tant pour les PCF que pour les PCC, il ne faut prendre en compte, sauf si le principe de la bonne foi commande le contraire, que les périodes de séjour dûment autorisé pour vérifier si les étrangers requérant</w:t>
      </w:r>
    </w:p>
    <w:p>
      <w:r>
        <w:t>A/2456/2018 - 5/6 - de telles prestations remplissent la condition d’une résidence habituelle en Suisse durant le nombre d’années exigé lors du dépôt de la demande desdites prestations. Dans un arrêt du 8 octobre 2018 (ATAS/891/2018), la chambre de céans a jugé que le seul dépôt d’une demande d’autorisation de séjour ne pouvait constituer le point de départ du délai de carence, en application du principe de la bonne foi.</w:t>
      </w:r>
    </w:p>
    <w:p>
      <w:r>
        <w:rPr>
          <w:b/>
        </w:rPr>
        <w:t>E. 6</w:t>
      </w:r>
    </w:p>
    <w:p>
      <w:r>
        <w:t>Lorsqu'un travailleur étranger tombe malade ou est victime d'un accident en Suisse, le défaut de l'autorisation de travail exigée par le droit public n'exclut pas le droit à des prestations de l'assurance-invalidité fédérale. Le Tribunal fédéral a jugé qu'il n'était pas contraire à l'ordre public suisse d'allouer des prestations d'assurances sociales, plus particulièrement de l'assurance-invalidité, à un ressortissant étranger entré illégalement en Suisse et dont le gain d'un « travail au noir » a été soumis à cotisations (ATF 118 V 79).</w:t>
      </w:r>
    </w:p>
    <w:p>
      <w:r>
        <w:rPr>
          <w:b/>
        </w:rPr>
        <w:t>E. 7</w:t>
      </w:r>
    </w:p>
    <w:p>
      <w:r>
        <w:t>La convention de sécurité sociale entre la Confédération suisse et la République des Philippines conclue le 17 septembre 2001 et approuvée par l'Assemblée fédérale le 25 septembre 2003 (RS 0.831.109.645.1) est applicable en ce qui concerne la Suisse à la loi fédérale du 20 décembre 1946 sur l'assurance-vieillesse et survivants et la loi fédérale du 19 juin 1959 sur l'assurance-invalidité.</w:t>
      </w:r>
    </w:p>
    <w:p>
      <w:r>
        <w:rPr>
          <w:b/>
        </w:rPr>
        <w:t>E. 8</w:t>
      </w:r>
    </w:p>
    <w:p>
      <w:r>
        <w:t>En l’espèce, le recourant n'est pas au bénéfice d'un titre de séjour en Suisse. Il ne remplit par conséquent pas la condition d'un domicile légal en Suisse, selon les dispositions légales et la jurisprudence applicables en la matière. Il ne peut pas se prévaloir de la jurisprudence relative à l'assurance-invalidité qui concerne une situation différente, à savoir des personnes illégalement en Suisse qui ont cotisé pour cette assurance en raison de l'exercice d'une activité lucrative (ATF 118 V 79). L'assuré n'a, en effet, pas payé de cotisations sur la base de la législation relative aux prestations complémentaires, même s'il a travaillé en Suisse. Le recourant ne peut pas non plus se prévaloir du fait qu'il a déposé une demande d’autorisation de séjour et de travail, car même si son séjour était toléré par l'OCPM en attendant sa décision, cela ne permettrait pas de considérer qu'il réside légalement en Suisse, selon la jurisprudence précitée. Enfin, les prestations complémentaires n'entrent pas dans le champ matériel de la convention de sécurité sociale entre la Confédération suisse et la République des Philippines, de sorte qu'elle ne s'applique pas au cas d'espèce.</w:t>
      </w:r>
    </w:p>
    <w:p>
      <w:r>
        <w:rPr>
          <w:b/>
        </w:rPr>
        <w:t>E. 9</w:t>
      </w:r>
    </w:p>
    <w:p>
      <w:r>
        <w:t>Infondé, le recours sera rejeté.</w:t>
      </w:r>
    </w:p>
    <w:p>
      <w:r>
        <w:rPr>
          <w:b/>
        </w:rPr>
        <w:t>E. 10</w:t>
      </w:r>
    </w:p>
    <w:p>
      <w:r>
        <w:t>La procédure est gratuite (art. 89H al. 1 LPA).</w:t>
      </w:r>
    </w:p>
    <w:p>
      <w:r>
        <w:t>A/2456/2018 - 6/6 - PAR CES MOTIFS, LA CHAMBRE DES ASSURANCES SOCIALES :</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