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ATAS/227/2025 vom 1. April 2025</w:t>
      </w:r>
    </w:p>
    <w:p>
      <w:r>
        <w:t>GE Cour de justice, 2025-04-01, FR</w:t>
      </w:r>
    </w:p>
    <w:p>
      <w:r>
        <w:rPr>
          <w:b/>
        </w:rPr>
        <w:t xml:space="preserve">Quelle: </w:t>
      </w:r>
      <w:r>
        <w:t>https://mcp.opencaselaw.ch/entscheid/ge_gerichte_ATAS_227_2025</w:t>
      </w:r>
    </w:p>
    <w:p>
      <w:r>
        <w:t>FR: GE_GERICHTE ATAS/227/2025 du 1 avril 2025</w:t>
      </w:r>
    </w:p>
    <w:p>
      <w:r>
        <w:t>IT: GE_GERICHTE ATAS/227/2025 del 1 aprile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w:t>
      </w:r>
    </w:p>
    <w:p>
      <w:r>
        <w:t>A/3711/2024 - 3/6 -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Le 1er janvier 2021 est entrée en vigueur la modification du 21 juin 2019 de la LPGA. Dans la mesure où le recours a été interjeté postérieurement au 1er janvier 2021, il est soumis au nouveau droit (cf. art. 82a LPGA a contrario). Interjeté en temps utile, le recours est recevable (art. 60 al. 1 LPGA).</w:t>
      </w:r>
    </w:p>
    <w:p>
      <w:r>
        <w:rPr>
          <w:b/>
        </w:rPr>
        <w:t>E. 2</w:t>
      </w:r>
    </w:p>
    <w:p>
      <w:r>
        <w:t>Le litige porte sur le refus de l’intimé d’accorder la remise de la dette du recourant, singulièrement sur la condition de la bonne foi et le cas échéant de la situation difficile.</w:t>
      </w:r>
    </w:p>
    <w:p>
      <w:r>
        <w:rPr>
          <w:b/>
        </w:rPr>
        <w:t>E. 3.1</w:t>
      </w:r>
    </w:p>
    <w:p>
      <w:r>
        <w:t>Selon l'art. 25 al. 1 LPGA, les prestations indûment touchées doivent être restituées.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arrêt du Tribunal fédéral 8C_364/2019 du 9 juillet 2020 consid. 4.1). L'art. 4 de l'ordonnance fédérale sur la partie générale du droit des assurances sociales, du 11 septembre 2002 (OPGA - RS 830.11)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w:t>
      </w:r>
    </w:p>
    <w:p>
      <w:r>
        <w:rPr>
          <w:b/>
        </w:rPr>
        <w:t>E. 3.2</w:t>
      </w:r>
    </w:p>
    <w:p>
      <w:r>
        <w:t>À teneur de l’art. 24 de la loi cantonale sur les prestations cantonales complémentaires du 25 octobre 1968 (LPCC - J 4 25), les prestations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t>A/3711/2024 - 4/6 -</w:t>
      </w:r>
    </w:p>
    <w:p>
      <w:r>
        <w:rPr>
          <w:b/>
        </w:rPr>
        <w:t>E. 3.3</w:t>
      </w:r>
    </w:p>
    <w:p>
      <w:r>
        <w:t>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Selon le Tribunal fédéral, un délai de deux mois pour se conformer à l’obligation de renseigner l'administration d'une augmentation des revenus relève d'une négligence grave excluant la bonne foi (arrêt du Tribunal fédéral 8C_640/2023 du 19 avril 2024 consid. 6 et la référence). Enfin, la croyance que l’augmentation des revenus était déjà connue de l’administration ne libère pas pour autant la personne intéressée de son obligation d'annoncer tout changement dans sa situation personnelle et matérielle (arrêt du Tribunal fédéral 8C_640/2023 du 19 avril 2024 consid. 6 et la référence).</w:t>
      </w:r>
    </w:p>
    <w:p>
      <w:r>
        <w:rPr>
          <w:b/>
        </w:rPr>
        <w:t>E. 3.4</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w:t>
      </w:r>
    </w:p>
    <w:p>
      <w:r>
        <w:t>En l’espèce, il est incontesté que le recourant a reçu dès le 1er octobre 2021, alors qu’il était bénéficiaire de prestations complémentaires depuis de nombreuses années, un revenu respectivement des indemnités perte de gain qu’il n’a pas annoncées à l’intimé. Le fait qu’il ait déclaré ces éléments à l’administration fiscale ne l’exonérait pas de les annoncer à l’intimé. Il n’ignorait pas que toute modification dans sa situation financière devait être annoncée au SPC, ce qui lui avait été expliqué</w:t>
      </w:r>
    </w:p>
    <w:p>
      <w:r>
        <w:t>A/3711/2024 - 5/6 - lorsqu’il s’est vu reconnaître un droit aux prestations complémentaires et régulièrement par la suite, et ne pouvait s’en tenir à une déclaration fiscale. Il pouvait en outre constater à la lecture des feuilles de calcul de ses droits que l’intimé n’avait pas connaissance de ces nouveaux éléments de revenus puisque ses droits n’étaient pas modifiés. Il n’a pourtant pas réagi comme il y était tenu. Pour ces deux motifs, il doit être constaté que le recourant a violé son obligation vis-à-vis de l’intimé et a ainsi commis une négligence grave, de sorte que sa bonne foi ne peut pas être retenue. La condition de la bonne foi étant cumulative avec celle de la situation financière difficile, la remise de l’obligation de restituer ne peut être accordée au recourant.</w:t>
      </w:r>
    </w:p>
    <w:p>
      <w:r>
        <w:rPr>
          <w:b/>
        </w:rPr>
        <w:t>E. 5</w:t>
      </w:r>
    </w:p>
    <w:p>
      <w:r>
        <w:t>Au vu de ce qui précède, le recours est rejeté.</w:t>
      </w:r>
    </w:p>
    <w:p>
      <w:r>
        <w:rPr>
          <w:b/>
        </w:rPr>
        <w:t>E. 6</w:t>
      </w:r>
    </w:p>
    <w:p>
      <w:r>
        <w:t>Pour le surplus, la procédure est gratuite (art. 61 let. fbis LPGA a contrario).</w:t>
      </w:r>
    </w:p>
    <w:p>
      <w:r>
        <w:t>***</w:t>
      </w:r>
    </w:p>
    <w:p>
      <w:r>
        <w:t>A/3711/2024 - 6/6 -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