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ATAS/227/2017 vom 16. März 2017</w:t>
      </w:r>
    </w:p>
    <w:p>
      <w:r>
        <w:t>GE Cour de justice, 2017-03-16, FR</w:t>
      </w:r>
    </w:p>
    <w:p>
      <w:r>
        <w:rPr>
          <w:b/>
        </w:rPr>
        <w:t xml:space="preserve">Quelle: </w:t>
      </w:r>
      <w:r>
        <w:t>https://mcp.opencaselaw.ch/entscheid/ge_gerichte_ATAS_227_2017</w:t>
      </w:r>
    </w:p>
    <w:p>
      <w:r>
        <w:t>FR: GE_GERICHTE ATAS/227/2017 du 16 mars 2017</w:t>
      </w:r>
    </w:p>
    <w:p>
      <w:r>
        <w:t>IT: GE_GERICHTE ATAS/227/2017 del 16 marzo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A/3099/2016 5/6</w:t>
      </w:r>
    </w:p>
    <w:p>
      <w:r>
        <w:rPr>
          <w:b/>
        </w:rPr>
        <w:t>E. 4</w:t>
      </w:r>
    </w:p>
    <w:p>
      <w:r>
        <w:t>février 2016, date à laquelle le jugement de divorce est devenu exécutoire.</w:t>
      </w:r>
    </w:p>
    <w:p>
      <w:r>
        <w:rPr>
          <w:b/>
        </w:rPr>
        <w:t>E. 5</w:t>
      </w:r>
    </w:p>
    <w:p>
      <w:r>
        <w:t>Selon l'art. 30c al. 6 LPP, lorsque les époux divorcent avant la survenance d'un cas de prévoyance, le versement anticipé est considéré comme une prestation de libre passage et il est partagé conformément aux art. 280ss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6</w:t>
      </w:r>
    </w:p>
    <w:p>
      <w:r>
        <w:t>Selon les documents produits, la prestation acquise pendant le mariage par le demandeur s'élève à CHF 295'778.45, tandis que celle acquise par la demanderesse atteint la somme de CHF 119'774.70, les intérêts ayant déjà été calculés par les institutions de prévoyance défenderesses. Ainsi le demandeur doit à son ex-épouse le montant de CHF 147'889.25 (295'778.45 : 2) alors qu'elle lui doit celui de CHF 59'887.35 (119'774.70 : 2), de sorte que c’est en définitive le demandeur qui doit à son ex-épouse le montant de CHF 88'001.90 (147'889.25 - 59'887.35).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A/3099/2016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