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ATAS/227/2011 vom 3. März 2011</w:t>
      </w:r>
    </w:p>
    <w:p>
      <w:r>
        <w:t>GE Cour de justice, 2011-03-03, FR</w:t>
      </w:r>
    </w:p>
    <w:p>
      <w:r>
        <w:rPr>
          <w:b/>
        </w:rPr>
        <w:t xml:space="preserve">Quelle: </w:t>
      </w:r>
      <w:r>
        <w:t>https://mcp.opencaselaw.ch/entscheid/ge_gerichte_ATAS_227_2011</w:t>
      </w:r>
    </w:p>
    <w:p>
      <w:r>
        <w:t>FR: GE_GERICHTE ATAS/227/2011 du 3 mars 2011</w:t>
      </w:r>
    </w:p>
    <w:p>
      <w:r>
        <w:t>IT: GE_GERICHTE ATAS/227/2011 del 3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w:t>
      </w:r>
    </w:p>
    <w:p>
      <w:r>
        <w:t>A/1962/2010 - 11/21 -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datant du 6 mai 2010 est postérieure à l'entrée en vigueur de la LPGA ainsi qu'à l'entrée en vigueur, le 1er janvier 2004, des modifications de la loi fédérale sur l'assurance-invalidité du 21 mars 2003 (4ème révision) et, le 1er janvier 2008, des modifications de la loi fédérale sur l’assurance-invalidité du 6 octobre 2006 (5ème révision), cependant, les faits pertinents remontent au mois de septembre 2004. Partant, du point de vue matériel, le droit éventuel à une rente d'invalidité doit être examiné, pour la période jusqu’au 31 décembre 2007, au regard des dispositions de la LPGA et de celles de la LAI en vigueur jusqu’à cette date, et dès le 1er janvier 2008, en fonction des modifications de la LAI consécutives à la 5ème révision,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prévus par la loi, le présent recours est recevable (art. 56 à 61 LPGA).</w:t>
      </w:r>
    </w:p>
    <w:p>
      <w:r>
        <w:t>A/1962/2010 - 12/21 -</w:t>
      </w:r>
    </w:p>
    <w:p>
      <w:r>
        <w:rPr>
          <w:b/>
        </w:rPr>
        <w:t>E. 4</w:t>
      </w:r>
    </w:p>
    <w:p>
      <w:r>
        <w:t>Le litige porte sur le droit du recourant à une rente au-delà du 30 novembre 2005, et singulièrement sur sa capacité à exercer une activité lucrative adaptée dès le 1er septembre 2005 et sur le calcul de son degré d’invalidité depuis lors.</w:t>
      </w:r>
    </w:p>
    <w:p>
      <w:r>
        <w:rPr>
          <w:b/>
        </w:rPr>
        <w:t>E. 5</w:t>
      </w:r>
    </w:p>
    <w:p>
      <w:r>
        <w:t>Selon la jurisprudence, une décision par laquelle l’assurance-invalidité accorde une rente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Il y a ainsi lieu de déterminer si l’état de santé du recourant s’est amélioré depuis le 1er septembre 2005.</w:t>
      </w:r>
    </w:p>
    <w:p>
      <w:r>
        <w:rPr>
          <w:b/>
        </w:rPr>
        <w:t>E. 7</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A/1962/2010 - 13/21 -</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du 13 mars 2000, I 592/99, consid. b/ee).</w:t>
      </w:r>
    </w:p>
    <w:p>
      <w:r>
        <w:t>A/1962/2010 - 14/21 -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l’intimé a considéré que le recourant avait été dans l'incapacité totale d'exercer la moindre activité lucrative du 3 septembre 2003 au 31 août 2005, date à laquelle son état de santé s’était amélioré au point qu'il recouvre une capacité de travail de 70% dans toute activité adaptée à ses limitations fonctionnelles. a) Pour conclure de la sorte, l’intimé s’est basé sur le rapport d’examen du Dr G__________ du 30 janvier 2008, lequel présente pleine valeur probante au sens de la jurisprudence, quoi qu’en dise le recourant. En effet, ce rapport a été établi sur la base des documents radiologiques mis à la disposition de l'examinateur, d’une riche anamnèse comprenant un volet familial, personnel, professionnel et médical, d’un exposé complet des plaintes exprimées par le recourant et d’examens cliniques effectués en date du 11 janvier 2008. De plus, l’examinateur a clairement exposé les atteintes dont souffrait l'assuré, expliqué en quoi ces atteintes avaient des répercussions sur sa capacité de travail et quelles activités devaient être exclues. On comprend également que l'examinateur a admis une diminution de rendement de 30% en raison des limitations fonctionnelles, lesquelles concernaient les mouvements effectués bras au dessus de 90°, le port de charges de plus de 5 kg, la position statique du rachis cervical en flexion ou en extension ou encore l'obligation de devoir changer de position toutes les 30 minutes. On comprend également pour quelles raisons l'examinateur a fait remonter le début de cette capacité résiduelle de travail au 1er septembre 2005, soit trois mois après la dernière opération subie par le recourant aux niveaux du tunnel carpien et du coude. Il est vrai que l’examinateur n’a pas été très précis concernant le moment de cette intervention, située en « été 2005 ». Toutefois, force est de constater d’une part, que</w:t>
      </w:r>
    </w:p>
    <w:p>
      <w:r>
        <w:t>A/1962/2010 - 15/21 - c’est le recourant lui-même qui a indiqué que cette intervention avait eu lieu durant l’été 2005 au Dr C__________ (pièce 17 intimé, p. 3ss), d’autre part, que d’autres médecins ont également attesté que cette intervention avait eu lieu en 2005, sans plus de précision. Quoi qu’il en soit, le recourant ne prétend pas que cette intervention aurait été pratiquée à un autre moment, de sorte que les conclusions du Dr G__________ doivent être suivies. Il y a donc lieu de considérer que l’état de santé du recourant s’est amélioré dès le 1er septembre 2005, suite à la dernière opération qu’il a subie. Pour le surplus, la Cour de céans ne met en exergue aucune circonstance particulière permettant de douter de l’indépendance de l’examinateur, de sorte que son rapport doit se voir reconnaitre pleine valeur probante au sens de la jurisprudence ce d’autant plus que le recourant n’apporte aucun élément médical susceptible de le remettre en cause et que, par ailleurs, les conclusions de l’examinateur ont largement été confirmées par le rapport d’évaluation des EPI, dont il résulte que les capacités physiques du recourant sont compatibles avec une activité manuelle à 70%, permettant l’alternance des positions et n'impliquant pas de port de charges, telle que celles d’ouvrier à l’établi, d’ouvrier dans le secteur de l’industrie légère ou encore dans l’ébavurage léger ou le contrôle de qualité. Certes, le rendement du recourant s'est révélé insatisfaisant durant la mesure aux EPI, mais il a été souligné que cette diminution de rendement n’était justifiée ni par une fatigue importante ni par les atteintes à sa santé. Quant aux médecins qui se sont prononcés sur l’état du recourant, il convient de constater que leurs rapports et déclarations ne sont pas susceptibles de remettre en cause les conclusions du Dr G__________. Le Dr D__________ n’a pu se prononcer sur la capacité de travail de l'assuré, qu'il a précisé n'avoir vu qu’à trois reprises en octobre et novembre 2005. De plus, il a reconnu, lors de l’audience du 30 septembre 2010, que les limitations fonctionnelles retenues par l’examinateur du SMR correspondaient aux limitations classiques admises pour les personnes souffrant de troubles cervicaux et lombaires. Quant à la Dresse A__________, elle n'a fait état d'aucun élément objectivement vérifiable qui aurait été ignoré dans le cadre de l’examen du SMR et suffisamment pertinent pour permettre de douter des conclusions du Dr G__________. Au demeurant, il sera précisé qu’en ce qui concerne l’aspect psychiatrique, il est constant, au vu du rapport d’expertise psychiatrique du 5 novembre 2007, que le recourant ne souffre d’aucune affection psychiatrique. Il ne l’allègue d’ailleurs pas.</w:t>
      </w:r>
    </w:p>
    <w:p>
      <w:r>
        <w:rPr>
          <w:b/>
        </w:rPr>
        <w:t>E. 11</w:t>
      </w:r>
    </w:p>
    <w:p>
      <w:r>
        <w:t>Au vu de ce qui précède, c’est à juste titre que l’intimé a conclu que la capacité de travail du recourant avait été nulle du 3 septembre 2003 au 31 août 2005 mais recouvrée à 70% dans une activité adaptée trois mois après la dernière opération chirurgicale, soit au plus tard le 1er septembre 2005.</w:t>
      </w:r>
    </w:p>
    <w:p>
      <w:r>
        <w:t>A/1962/2010 - 16/21 -</w:t>
      </w:r>
    </w:p>
    <w:p>
      <w:r>
        <w:rPr>
          <w:b/>
        </w:rPr>
        <w:t>E. 12</w:t>
      </w:r>
    </w:p>
    <w:p>
      <w:r>
        <w:t>Reste à se prononcer sur le calcul du degré d'invalidité effectué par l'intimé. a) L’art. 28 al. 1 LAI, en vigueur du 1er janvier 2004 au 31 décembre 2007, dispose que l’assuré a droit à une rente entière s’il est invalide à 70% au moins, à trois quarts de rente s’il est invalide à 60% au moins, à une demi-rente s’il est invalide à 50% au moins ou à un quart de rente s’il est invalide à 40% au moins. Selon l’art. 29 al. 1 let. b LAI en vigueur jusqu’au 31 décembre 2007, le droit à la rente au sens de l’art. 28 prend naissance au plus tôt à la date dès laquelle l’assuré a présenté, en moyenne, une incapacité de travail de 40% au moins pendant une année sans interruption notable (art. 6 LPGA). b) D’après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w:t>
      </w:r>
    </w:p>
    <w:p>
      <w:r>
        <w:t>A/1962/2010 - 17/21 - différents éléments qui peuvent influencer le revenu d’une activité lucrative (cf. ATF 126 V 75 consid. 5). Le Tribunal fédéral a par exemple admis la réduction maximale de 25% s'agissant d'un assuré âgé de presque soixante-et-un ans au moment de la décision litigieuse, employé depuis près de vingt ans par le même employeur, rencontrant de nombreuses limitations fonctionnelles et ne pouvant travailler qu’à temps partiel (arrêts du TF 9C_354/2009 et 9C_405/2009). Il l'a également admis s'agissant d'un assuré âgé, souffrant d’une angine de poitrine et d’une insuffisance artérielle des membres inférieurs, réduit à une activité à temps partiel (arrêt du TF I 405/03) ou encore d'un autre, rencontrant de très nombreuses limitations fonctionnelles, réduit à exercer à temps partiel et titulaire d'un permis B (arrêt du TF I 491/01).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En l’espèce, il a précédemment été déterminé que le recourant a été dans l'incapacité totale d'exercer la moindre activité lucrative du 3 septembre 2003 au 31 août 2005, de sorte qu’il a droit à une rente entière d’invalidité du mois de septembre 2004 au 30 novembre 2005 (art. 88a al. 1 RAI). En ce qui concerne la période postérieure, il sied de procéder à une comparaison des revenus. Le recourant a travaillé de nombreuses années en qualité de machiniste et l’intimé a établi qu’en 2004, il aurait réalisé un revenu de 62'862 francs. La Cour de céans remarque, à cet égard, que l'intimé semble avoir omis de tenir compte du 13ème salaire et de la gratification de 1'000 fr. évoqués par l'employeur de l'assuré (cf. ses déclarations du 25 octobre 2004 : pièce 7 intimé). Or, si l'on tient compte pour l’année 2004, d’un revenu horaire de 27 fr. 30, de 2'214 heures annuelles de travail, d’un 13ème salaire et d’une gratification de 1'000 fr., le revenu annuel de l'assuré se serait élevé à 66'479 fr. (60'442 + 5'037 + 1'000). Adapté à l’indice suisse des salaires nominaux (ISS ; en 2004 : 1975 et en 2005 : 1992), le revenu sans invalidité de l'assuré aurait été de 67'051 fr. en 2005. Quant au revenu d’invalide, le recourant n’ayant pas repris l’exercice d’une activité lucrative, il convient de se référer aux salaires statistiques tels qu’ils résultent de l’ESS. Comme cela a été déterminé ci-dessus, le recourant pourrait exercer une activité adaptée à 70%, soit notamment une activité permettant de varier les</w:t>
      </w:r>
    </w:p>
    <w:p>
      <w:r>
        <w:t>A/1962/2010 - 18/21 - positions assise-debout toutes les 30 minutes et n’impliquant pas de port de charges supérieures à 5 kilogrammes de façon répétitive au niveau des deux membres supérieurs, d’élévation au-delà de 90° des membres supérieurs ou de position statique du rachis cervical en flexion ou en extension. Le recourant ne dispose d’aucune formation professionnelle, hormis de celle de machiniste, toutefois, il y a lieu de considérer qu’eu égard au large éventail d'activités simples et répétitives offertes par le secteur de la production, un marché du travail équilibré offre un nombre significatif de postes de travail légers correspondant à cette description. Selon les données de l'ESS 2004, le revenu mensuel standardisé d’un homme exerçant une activité simple et répétitive s'élevait, dans le domaine de la production (lignes 10-45), à 4’853 fr. par mois (tableau TA1). Ce salaire hypothétique, calculé sur la base d’un horaire hebdomadaire de travail de 40 heures, doit encore être adapté à l’horaire de travail de 2005, lequel est de 41.6 heures (La Vie économique, 7-8/2010, p. 90, tableau B 9.2) et à l’ISS. On obtient ainsi un revenu annuel brut de 61'087 fr., soit, pour un taux d’occupation de 70%, de 42'761 fr. Enfin, il y a lieu d’examiner si ce revenu doit se voir réduit et, dans l'affirmative, dans quelle mesure. Force est de constater que les limitations fonctionnelles reconnues à l'assuré ont déjà justifié une diminution de 30% de sa capacité de travail, de sorte qu’on ne saurait les prendre une nouvelle fois en considération à ce stade. En revanche, il doit être tenu compte du fait que le recourant était âgé de 55 ans au moment de la décision litigieuse, que sa maîtrise du français est limitée, même à l’oral, qu’il n'est plus capable de travailler qu'à temps partiel et qu’il a travaillé près de dix ans chez son dernier employeur. Partant, eu égard à l’ensemble de ces circonstances, occultées sans aucune justification par l’intimé, une réduction supplémentaire de 15% doit être admise, ce qui conduit à un revenu d’invalide de 36'347 fr. qui, comparé au revenu sans invalidité de 67'051 fr., permet de conclure à un degré d’invalidité de 45.8% suffisant pour ouvrir droit à un quart de rente d’invalidité dès le 1er décembre 2005. On relèvera au passage que même une réduction de 20% ne conduirait pas à un autre résultat et qu'au vu de la jurisprudence rappelée supra, on ne saurait appliquer en l'occurrence la réduction maximale de 25% puisqu'il a d'ores et déjà été tenu compte des limitations fonctionnelles pour admettre une baisse de rendement de 30% et qu'une telle réduction ne peut entrer en ligne de compte que si tous les éléments évoqués par le Tribunal fédéral sont réunis. La décision de l’intimé devra ainsi être annulée et réformée dans le sens indiqué ci- dessus.</w:t>
      </w:r>
    </w:p>
    <w:p>
      <w:r>
        <w:rPr>
          <w:b/>
        </w:rPr>
        <w:t>E. 13</w:t>
      </w:r>
    </w:p>
    <w:p>
      <w:r>
        <w:t>Se pose enfin la question de savoir s'il se justifie de mettre en œuvre une mesure d’ordre professionnel. a) À teneur de l’art. 8 al. 1 LAI, les assurés invalides ou menacés d’une invalidité (art. 8 LPGA) ont droit à des mesures de réadaptation pour autant que ces mesures</w:t>
      </w:r>
    </w:p>
    <w:p>
      <w:r>
        <w:t>A/1962/2010 - 19/21 - soient nécessaires et de nature à rétablir, maintenir ou améliorer leur capacité de gain ou leur capacité d’accomplir leurs travaux habituels (let. a) et que les conditions d’octroi des différentes mesures soient remplies (let. b). Conformément à l’art. 8 al. 1bis LAI,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des mesures d’ordre professionnel (orientation professionnelle, formation professionnelle initiale, reclassement, placement, aide en capital). b) Selon l’art. 17 LAI, l’assuré a droit au reclassement dans une nouvelle profession si son invalidité rend cette mesure nécessaire et que sa capacité de gain peut ainsi, selon toute vraisemblance, être maintenue ou améliorée (al. 1er). D’après l’art. 15 LAI, l’assuré auquel son invalidité rend difficile le choix d’une profession ou l’exercice de son activité antérieure a droit à l’orientation professionnelle.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c) En l’espèce, il est vrai que le recourant remplit les conditions objectives pour l’octroi d’une mesure de reclassement professionnel, soit le changement de profession et un degré d’invalidité supérieur à 20%. Toutefois, compte tenu du fait que le recourant n’a que des connaissances très limitées en langue française et qu’il n’a par ailleurs pas fait montre d'une motivation suffisante lors du stage d’orientation professionnelle auprès des EPI, les conditions subjectives ne sont, elles, pas réalisées.</w:t>
      </w:r>
    </w:p>
    <w:p>
      <w:r>
        <w:t>A/1962/2010 - 20/21 - C'est aussi la raison pour laquelle une aide au placement n'entre pas non plus en ligne de compte pour l'instant, étant précisé que l'assuré peut toutefois solliciter en tout temps une telle mesure de manière motivée auprès de l’OAI, s’il souhaite recommencer à travailler.</w:t>
      </w:r>
    </w:p>
    <w:p>
      <w:r>
        <w:rPr>
          <w:b/>
        </w:rPr>
        <w:t>E. 14</w:t>
      </w:r>
    </w:p>
    <w:p>
      <w:r>
        <w:t>Eu égard aux considérations qui précèdent, le recours est partiellement admis en ce sens que le recourant se voit reconnaitre le droit à une rente entière du mois de septembre 2004 au mois de novembre 2005 et à un quart de rente depuis lors. Au vu de l’issue du litige, une indemnité de 1'500 fr. sera octroyée au recourant à titre de dépens (art. 61 let. g LPGA). Enfin, la procédure de recours en matière de contestations portant sur l’octroi ou le refus de prestations de l’AI étant soumise à des frais de justice (art. 69 al. 1bis LAI), un émolument de 200 fr. sera mis à la charge de l’OAI.</w:t>
      </w:r>
    </w:p>
    <w:p>
      <w:r>
        <w:t>PAR CES MOTIFS, LA CHAMBRE DES ASSURANCES SOCIALES :</w:t>
      </w:r>
    </w:p>
    <w:p>
      <w:r>
        <w:t>A/1962/2010 - 21/21 -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