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ATAS/226/2026 vom 16. März 2026</w:t>
      </w:r>
    </w:p>
    <w:p>
      <w:r>
        <w:t>GE Cour de justice, 2026-03-16, FR</w:t>
      </w:r>
    </w:p>
    <w:p>
      <w:r>
        <w:rPr>
          <w:b/>
        </w:rPr>
        <w:t xml:space="preserve">Quelle: </w:t>
      </w:r>
      <w:r>
        <w:t>https://mcp.opencaselaw.ch/entscheid/ge_gerichte_ATAS_226_2026</w:t>
      </w:r>
    </w:p>
    <w:p>
      <w:r>
        <w:t>FR: GE_GERICHTE ATAS/226/2026 du 16 mars 2026</w:t>
      </w:r>
    </w:p>
    <w:p>
      <w:r>
        <w:t>IT: GE_GERICHTE ATAS/226/2026 del 16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refus de l’intimé d’entrer en matière sur la demande de prestations du recourant.</w:t>
      </w:r>
    </w:p>
    <w:p>
      <w:r>
        <w:rPr>
          <w:b/>
        </w:rPr>
        <w:t>E. 3.1</w:t>
      </w:r>
    </w:p>
    <w:p>
      <w:r>
        <w:t>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3.2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w:t>
      </w:r>
    </w:p>
    <w:p>
      <w:r>
        <w:t>A/4397/2025 - 6/9 -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3.3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w:t>
      </w:r>
    </w:p>
    <w:p>
      <w:r>
        <w:t>A/4397/2025 - 7/9 - circonstances prévalant à l'époque de la dernière décision d'octroi ou de refus des prestations (ATF 130 V 64 consid. 2 ; 109 V 262 consid. 4a). Le juge doit examiner la situation d'après l'état de fait tel qu'il se présentait à l'administration au moment où celle-ci a statué (ATF 130 V 64 consid. 5.2.5 p. 68 ; arrêts 9C_708/2007 du 11 septembre 2008 consid. 2.3 ; I 52/03 du 16 janvier 2004 consid. 2.2 ; 9C_789/2012 du 27 juillet 2013, consid. 2). Son examen se limite, ainsi, au point de savoir si les pièces déposées en procédure administrative justifient ou non la reprise de l'instruction du dossier (arrêt du Tribunal fédéral 9C_789/2012 du 27 juillet 2013, consid. 4.1). Il ne sera donc pas tenu compte des rapports produits postérieurement à la décision litigieuse (ATF 130 V 64 consid. 5.2.5 ; 121 V 366 consid. 1b et les références ; arrêt du Tribunal fédéral 9C_959/2011 du 6 août 2012 consid. 4.3).</w:t>
      </w:r>
    </w:p>
    <w:p>
      <w:r>
        <w:rPr>
          <w:b/>
        </w:rPr>
        <w:t>E. 4</w:t>
      </w:r>
    </w:p>
    <w:p>
      <w:r>
        <w:t>En l’occurrence, l’intimé a estimé que l’état de santé du recourant ne s’était pas modifié depuis sa décision du 12 décembre 2022. Le recourant fait valoir en revanche que son état de santé s’est aggravé par la présence d’une nouvelle limitation fonctionnelle, révélée à l’occasion du stage effectué auprès des EPI. Il invoque un rapport d’examen neuropsychologique du</w:t>
      </w:r>
    </w:p>
    <w:p>
      <w:r>
        <w:rPr>
          <w:b/>
        </w:rPr>
        <w:t>E. 6</w:t>
      </w:r>
    </w:p>
    <w:p>
      <w:r>
        <w:t>avril 2023, un rapport du Dr B______ du 22 avril 2025 et un rapport du Dr D______ du 25 septembre 2025. Dans son rapport du 25 avril 2025, le Dr B______ a souligné que le recourant présentait une évolution fluctuante sur le plan psychique, globalement invalidante en raison d’épisodes récurrents de crises anxieuses générant une incapacité à se réinsérer professionnellement à un taux supérieur à 50%. Il a posé les diagnostics de trouble anxieux mixte avec épisodes paroxystiques / attaques de panique posé en 2011, trouble de la personnalité émotionnellement labile de type impulsif et probable TDAH posé le 6 avril 2023. Après un dernier stage aux EPI, le constat était celui de difficultés majeures du recourant à tenir une activité à un taux supérieur à 50%. La capacité de travail était de 50% dans une activité adaptée. Antérieurement à la décision de l’intimé du 12 décembre 2022, le Dr B______ attestait, dans un rapport du 8 juin 2021, de diagnostics de trouble anxieux chronique avec épisodes paroxystiques et personnalité émotionnellement labile. Il considérait qu’au vu de la nature du trouble psychique et du pronostic d’évolution des symptômes à moyen / long terme, la capacité de travail pouvait être estimée à 50%. Depuis février 2020, l’évolution psychiatrique montrait une péjoration thymique. Au demeurant, les diagnostics retenus par le Dr B______ en 2025, tout comme l’appréciation d’une capacité de travail de 50% dans une activité adaptée, sont similaires, sous réserve du TDAH, à ceux retenus dans son rapport de 2021, de sorte qu’aucune aggravation de l’état de santé du recourant n’est plausible.</w:t>
      </w:r>
    </w:p>
    <w:p>
      <w:r>
        <w:t>A/4397/2025 - 8/9 - S’agissant du TDAH, le Dr B______ se réfère au rapport d’examen neuropsychologique du 6 avril 2023, lequel conclut à un TDAH seulement possible et à un trouble attentionnel léger, de sorte que ce diagnostic ne peut être considéré comme établissant une aggravation plausible de l’état de santé du recourant. Quant au Dr D______, il mentionne, le 25 septembre 2025, les diagnostics, avec incidence sur la capacité de travail, de trouble anxieux généralisé et consommation de THC, et une capacité de travail de 50% dans une activité adaptée. Ce rapport n’amène pas d’élément nouveau déterminant pour rendre plausible une aggravation de l’état de santé du recourant depuis le 12 décembre 2022. Enfin, les conclusions du rapport des EPI, suite au stage du recourant comme assistant administratif prévu du 10 septembre 2024 au 22 février 2025 et interrompu le 14 février 2025, ne sont pas à même d’établir une aggravation plausible de l’état de santé du recourant. Au vu de ce qui précède, la décision litigieuse ne peut qu’être confirmée, le recourant n’ayant pas rendu plausible une aggravation de son état de santé depuis le 12 décembre 2022. 5. Le recours ne peut qu’être rejeté. Pour le surplus, il y a lieu de condamner le recourant au paiement d'un émolument de CHF 200.- (art. 69 al. 1 bis LAI).</w:t>
      </w:r>
    </w:p>
    <w:p>
      <w:r>
        <w:t>A/4397/2025 - 9/9 -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