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ATAS/226/2018 vom 13. März 2018</w:t>
      </w:r>
    </w:p>
    <w:p>
      <w:r>
        <w:t>GE Cour de justice, 2018-03-13, FR</w:t>
      </w:r>
    </w:p>
    <w:p>
      <w:r>
        <w:rPr>
          <w:b/>
        </w:rPr>
        <w:t xml:space="preserve">Quelle: </w:t>
      </w:r>
      <w:r>
        <w:t>https://mcp.opencaselaw.ch/entscheid/ge_gerichte_ATAS_226_2018</w:t>
      </w:r>
    </w:p>
    <w:p>
      <w:r>
        <w:t>FR: GE_GERICHTE ATAS/226/2018 du 13 mars 2018</w:t>
      </w:r>
    </w:p>
    <w:p>
      <w:r>
        <w:t>IT: GE_GERICHTE ATAS/226/2018 del 13 marzo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A/1633/2017 - 10/22 -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8</w:t>
      </w:r>
    </w:p>
    <w:p>
      <w:r>
        <w:t>a. En l’espèce, il n’est pas contesté que le recourant est totalement incapable d’exercer son activité habituelle de maçon depuis le 12 avril 2013. Seule demeure litigieuse l’évaluation de sa capacité de travail dans une activité adaptée à ses limitations fonctionnelles.</w:t>
      </w:r>
    </w:p>
    <w:p>
      <w:r>
        <w:t>A/1633/2017 - 11/22 - Faisant siennes les conclusions du 7 février 2017 du SMR, l’intimé considère que l’assuré peut exercer à plein temps toute activité adaptée à ses limitations fonctionnelles depuis le 27 mai 2016. Dans ses observations du 27 juillet 2017, le recourant soutient qu’il serait douteux qu’il dispose encore d’une capacité de travail importante, compte tenu de ses limitations fonctionnelles, qu’il estime considérables. Non seulement son pied gauche – et donc sa capacité à se déplacer et même à se tenir debout plus de quelques minutes – seraient atteints ; il souffrirait également d’hypertension artérielle, d’hypercholestérolémie et d’une gastrite à helicobacter pylori, référence étant faite au rapport du 5 mai 2017 du Dr B______. Dans ce dernier rapport, le Dr B______ indique également que « la reprise d’une activité de la vie quotidienne était très réservé ». b. Même si la portée de cette dernière appréciation n’apparaît pas très claire dans la mesure où le Dr B______ ne se prononce pas sur le point décisif pour une personne bénéficiant, à l’instar du recourant, d’un statut d’actif à 100 %, à savoir sa capacité de travail dans une activité adaptée à ses limitations fonctionnelles, force est cependant de constater que ce rapport du 5 mai 2017 ne comporte pas d’élément nouveau, sur le plan de l’état de santé du recourant, par rapport à celui du 23 février 2017, document dans lequel le Dr B______ invitait expressément l’intimé à réexaminer le dossier du recourant en vue de l’octroi de mesures professionnelles, nonobstant les complications postopératoires, l’hypertension artérielle et la gastrite à hélicobacter pylori dont il faisait simultanément état. Or, il va sans dire que si ce médecin considérait le 23 février 2017 que des mesures professionnelles pouvaient être accordées, il était par conséquent d’avis que le recourant était apte à la réadaptation. Ainsi, en termes de capacité de travail dans une activité adaptée, la situation ne diffère pas – le 5 mai comme le 23 février 2017 – de celle décrite par ce médecin le 27 octobre 2015, à savoir qu’il existe, en dépit d’un pronostic médiocre (persistance des douleurs du pied gauche), une aptitude à exercer des activités en position assise, les douleurs au pied faisant principalement obstacle à des activités exercées uniquement en position debout et/ou impliquant de devoir porter des charges (cf. l’annexe au rapport du 27 octobre 2015). En considérant également qu’il existait, à la suite de l’arthrodèse du 26 avril 2016, un arrêt de travail complet jusqu’au 27 mai 2016 (cf. rapport du Dr D______ du 2 mai 2016), les avis du SMR ne prêtent pas le flanc à la critique en tant qu’ils retiennent, d’une part, que le recourant disposait, dès le 27 mai 2016, d’une capacité de travail entière dans une activité adaptée légère, sédentaire effectuée principalement en position assise (avis du 7 février 2017) et, d’autre part, que les renseignements donnés par le Dr B______ le 23 février 2017 n’apportaient aucun élément nouveau permettant au SMR de modifier son appréciation (avis du 23 mars 2017). c. En conséquence, la chambre de céans considérera qu’il est établi, au degré de la vraisemblance prépondérante, que depuis le 27 mai 2016, le recourant dispose bel et bien d’une capacité de travail de 100 % dans une activité adaptée aux limitations</w:t>
      </w:r>
    </w:p>
    <w:p>
      <w:r>
        <w:t>A/1633/2017 - 12/22 - fonctionnelles retenues par le SMR, à savoir pas de sollicitations répétées du pied et de la cheville gauche, notamment pas d’utilisation répétée d’escaliers, de marche prolongée et/ou en terrain irrégulier, de station debout prolongée, de port de charges lourdes, ni de travail en hauteur. Ces restrictions incitaient à privilégier une activité légère, sédentaire, effectuée principalement en position assise.</w:t>
      </w:r>
    </w:p>
    <w:p>
      <w:r>
        <w:rPr>
          <w:b/>
        </w:rPr>
        <w:t>E. 9</w:t>
      </w:r>
    </w:p>
    <w:p>
      <w:r>
        <w:t>a. Reste à déterminer la méthode d’évaluation de l’invalidité et, cela fait, le calcul du degré d’invalidité. Après que le recourant eut soutenu, dans un premier temps, que la méthode extraordinaire d’évaluation de l’invalidité n’avait pas été correctement appliquée par l’intimé, ce dernier a observé que c’était la méthode générale de comparaison des revenus qui avait été mise en œuvre. Sur quoi, l’intimé a indiqué qu’il s’en rapportait à justice sur le choix de la méthode idoine. On observera à titre liminaire qu’en tant que l’intimé a reconnu au recourant le statut d’actif à 100 %, cette appréciation n’est pas contestable ni contestée. Pour le surplus, il est exact que l’intimé a déterminé le taux d’invalidité du recourant selon la méthode générale de comparaison des revenus.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c. Pour déterminer la méthode applicable à un cas particulier, il faut, nonobstant la teneur de l’art. 8 al. 3 LPGA, non pas chercher à savoir dans quelle mesure l’exercice d’une activité lucrative aurait été exigible de la part de l’assuré, mais se demander ce qu’il aurait fait si l’atteinte à la santé n’était pas survenue (ATF 133 V 504 consid. 3.3). d/aa.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w:t>
      </w:r>
    </w:p>
    <w:p>
      <w:r>
        <w:t>A/1633/2017 - 13/22 -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d/bb.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 e. En l’espèce, il résulte des informations recueillies par l’intimé que le recourant a eu effectivement un statut d’indépendant entre 2000 et 2013, abandonné pour des raisons économiques, et qu’il a accompli diverses missions sur des chantiers en qualité de travailleur intérimaire de C______ SA, entre novembre 2013 et mai 2014, ce qui est corroboré par les inscriptions portées à son compte individuel. Par ailleurs, il ne ressort pas des déclarations du recourant ni des circonstances que l’accident du 12 avril 2013 serait en définitive à l’origine de la cessation de l’activité indépendante en 2013. Au contraire, des motifs économiques apparaissent plausibles à l’examen de l’extrait du compte individuel du recourant, celui-ci faisant ressortir de fortes fluctuations des revenus issus de son activité indépendante bien avant 2013. En outre, l’intéressé a continué à exercer, après 2013 et dans le secteur du bâtiment, des travaux similaires à son activité antérieure mais en tant qu’employé intérimaire. En toute hypothèse, l’invalidité ne doit pas être évaluée selon la méthode extraordinaire, mais selon la méthode de comparaison des revenus lorsque, en raison d’un changement important intervenu dans l’exploitation d’un indépendant (par ex : cessation d’activité, vente de l’exploitation), les répercussions économiques de la baisse de rendement sur les divers champs d’activité ne peuvent plus être établies de manière réaliste (arrêt du Tribunal fédéral I 499/02 du 17 juin et arrêt du Tribunal administratif fédéral C-6725/2014 du 6 novembre 2017 consid. 9.1 ; cf. ég. arrêt du Tribunal fédéral des assurances I 842/05 du 1er juin 2006 consid. 5.2.1, lequel précise que la méthode extraordinaire suppose en principe qu’une enquête soit effectuée sur place dans l’entreprise). Dans la mesure où l’entreprise du recourant n’existe plus – ce qui était déjà le cas depuis au moins trois ans au moment où l’intimé a déterminé le degré d’invalidité du recourant –, le fait d’avoir établi le degré d’invalidité de ce dernier au moyen de la méthode générale de comparaison des revenus n’apparaît pas contestable.</w:t>
      </w:r>
    </w:p>
    <w:p>
      <w:r>
        <w:t>A/1633/2017 - 14/22 -</w:t>
      </w:r>
    </w:p>
    <w:p>
      <w:r>
        <w:rPr>
          <w:b/>
        </w:rPr>
        <w:t>E. 10</w:t>
      </w:r>
    </w:p>
    <w:p>
      <w:r>
        <w:t>Il convient de préciser ce qui suit au sujet de la méthode générale de comparaison des revenus.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 arrêt du Tribunal fédéral des assurances B 80/01 du 17 octobre 2003 consid. 5.2.2) ou</w:t>
      </w:r>
    </w:p>
    <w:p>
      <w:r>
        <w:t>A/1633/2017 - 15/22 - encore en cas de travail intérimaire (arrêt du Tribunal fédéral 9C_213/2009 du 19 janvier 2010 consid. 4.3).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rPr>
          <w:b/>
        </w:rPr>
        <w:t>E. 11</w:t>
      </w:r>
    </w:p>
    <w:p>
      <w:r>
        <w:t>a. En l’espèce, le droit éventuel à la rente est né en principe le 12 avril 2014 si l’on se réfère au rapport du 27 octobre 2015 du Dr B______ (incapacité de travail totale depuis le 12 avril 2013). Toutefois, dans la mesure où le recourant n’a définitivement cessé de travailler qu’en 2014, le choix d’effectuer le calcul du degré d’invalidité en procédant à la comparaison des gains un an plus tard, soit en 2015, n’apparaît pas contestable et n’est du reste pas contesté. b. En l’absence de renseignements précis sur le dernier salaire réalisé, celui-ci représentant de surcroît la rémunération versée pour quelques missions exécutées dans le cadre d’un travail intérimaire alors que le recourant souffrait déjà du pied</w:t>
      </w:r>
    </w:p>
    <w:p>
      <w:r>
        <w:t>A/1633/2017 - 16/22 - (cf. ci-dessus : consid. 10b), il y a lieu de considérer qu’il existe des circonstances particulières justifiant que le revenu sans invalidité soit déterminé au moyen des données statistiques résultant de l’enquête suisse sur la structure des salaires (ESS 2014). S’agissant du revenu sans invalidité, on ne saurait toutefois se référer au salaire moyen réalisable par un homme dans l’ensemble du secteur privé (ESS 2014, TA1, tirage skill-level, ligne total), il convient au contraire de se référer à la catégorie 41-43 du même tableau (construction), plus précisément au revenu réalisable par un homme dans une activité simple et répétitive (niveau 1). En effet, il y a lieu de partir du principe, au degré de la vraisemblance prépondérante, que sans son atteinte du pied gauche, le recourant – qui était actif dans le domaine de la construction de manière ininterrompue depuis 2006 au moins (cf. l’extrait de son compte individuel) –, aurait continué à travailler dans la même branche (cf. arrêt du Tribunal fédéral I 669/01 du 30 avril 2002 pour un cas et une appréciation similaire). Selon la statistique précitée (ESS 2014), le revenu réalisé en 2014 par les hommes dans le secteur de la construction pour une activité simple et répétitive (niveau 1) était de CHF 66'084.- par année, compte tenu d’un salaire mensuel de CHF 5'507.- alloué douze fois l’an. Étant donné que les salaires bruts standardisés tiennent compte d’un horaire de travail de quarante heures, soit d’une durée hebdomadaire inférieure à la moyenne usuelle dans les entreprises de la construction en 2015 (41.4 heures ; Office fédéral de la statistique – statistique de la durée normale du travail dans les entreprises, DNT), ce montant doit être porté à CHF 68'396.94 (CHF 66'084.- x 41.4 / 40), puis à CHF 68'582.- une fois indexé à 2015 selon l’évolution des salaires en termes nominaux (ISS en 2014 : 2'220 et en 2015 : 2'226 ; soit CHF 68'396.94 x 2'226 / 2'220). c.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63'744.- (CHF 5'312.- x 12 ; ESS 2014, TA1, tirage skill-level, ligne total).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66'453.12 (CHF 63'744.- x 41.7 / 40) puis à CHF 66'633.-, une fois indexé à 2015 selon l’évolution des salaires en termes nominaux (ISS en 2014 : 2'220 et en 2015 : 2'226 ; soit CHF 66'453.12 x 2'226 / 2'220).</w:t>
      </w:r>
    </w:p>
    <w:p>
      <w:r>
        <w:t>A/1633/2017 - 17/22 - L’intimé a opéré un abattement de 10 % sur le salaire statistique pour tenir compte de la limitation aux seuls travaux légers. Aussi l’abattement retenu à ce titre ne prête-t-il pas le flanc à la critique, de sorte que le revenu d’invalide s’élève à CHF 59'969.-. d. Il s’ensuit que la perte de gain du recourant est de CHF 8'613.- par année (soit CHF 68'582.- moins CHF 59'969.-), ce qui représente 12.55 % du revenu sans invalidité ([68'582.- – 59'969.-] x 100 / 68'582.-). Le résultat exact du calcul doit être arrondi au chiffre en pour cent supérieur ou inférieur selon les règles applicables en mathématiques (ATF 130 V 121 consid. 3, modifiant la jurisprudence publiée aux ATF 127 V 129, consid. 3). Le taux d’invalidité du recourant est donc de 13 % du revenu sans invalidité, taux insuffisant pour ouvrir droit à une rente d’invalidité (art. 28 al. 1 LAI).</w:t>
      </w:r>
    </w:p>
    <w:p>
      <w:r>
        <w:rPr>
          <w:b/>
        </w:rPr>
        <w:t>E. 12</w:t>
      </w:r>
    </w:p>
    <w:p>
      <w:r>
        <w:t>Un taux d’invalidité de 13 % étant trop faible pour ouvrir droit à une rente, il reste à déterminer si le recourant peut prétendre à une mesure d’ordre professionnel.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w:t>
      </w:r>
    </w:p>
    <w:p>
      <w:r>
        <w:t>A/1633/2017 - 18/22 -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On rappellera encore qu'il n'existe pas un droit inconditionnel à obtenir une mesure professionnelle (voir par ex. arrêt du Tribunal fédéral 9C_385/2009 du</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14</w:t>
      </w:r>
    </w:p>
    <w:p>
      <w:r>
        <w:t>En l’espèce, le traitement du dossier par l’intimé se résume à une instruction médicale, à l’octroi de mesures d’intervention précoce ainsi qu’à la détermination du taux d’invalidité du recourant. Bien que les considérants qui précèdent aient permis de corriger ce taux à la hausse, il n’en reste pas moins que la perte de gain liée à l’invalidité s’établit seulement à 13 %, ce qui demeure insuffisant pour pouvoir prétendre à un reclassement au sens de l’art. 17 LAI. Reste à déterminer si le recourant remplit les conditions d’octroi d’une orientation professionnelle ou d’une aide au placement.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w:t>
      </w:r>
    </w:p>
    <w:p>
      <w:r>
        <w:t>A/1633/2017 - 19/22 -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b.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rapport aux dispositions y relatives de la 4ème révision de la LAI (cf. ATF 116 V 80 consid. 6 ; arrêt du Tribunal fédéral des assurances I 421/01 du 15 juillet 2002 consid. 2c, comparés aux arrêts I 170/06 et 9C_879/2008 des 26 février 2007 et 21 janvier 2009 et les références). A notamment droit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w:t>
      </w:r>
    </w:p>
    <w:p>
      <w:r>
        <w:t>A/1633/2017 - 20/22 -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w:t>
      </w:r>
    </w:p>
    <w:p>
      <w:r>
        <w:t>c. En l’espèce, il ne ressort pas des pièces versées au dossier que le recourant rencontrerait de réelles difficultés pour retrouver une activité lucrative adaptée à ses limitations. Le Tribunal fédéral a en effet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l’assurance-chômage (arrêt du Tribunal fédéral des assurances C 282/05 du 3 mars 2006 du 3 mars 2006 consid. 2.3 ; Ulrich MEYER, Marco REICHMUTH, Bundesgesetz über die Invalidenversicherung [IVG], in Hans-Ulrich STAUFFER, Basile CARDINAUX [éd.], Rechtsprechung des Bundesgerichts zum Sozialversicherungsrecht, 3ème éd. 2014, p. 359 n. 134 ad art. 28a LAI). Ainsi, ce n’est pas parce que le recourant était toujours sans emploi à la date de la décision querellée ou, cas échéant, que l’office cantonal de l’emploi l’ait considéré passagèrement inapte au placement qu’il en résulte ipso facto un droit à une mesure d’orientation professionnelle.</w:t>
      </w:r>
    </w:p>
    <w:p>
      <w:r>
        <w:t>Une aide au placement doit également être déniée au recourant. En effet, celui-ci dispose d’une capacité de travail de 100 % dans une activité adaptée. En outre, à</w:t>
      </w:r>
    </w:p>
    <w:p>
      <w:r>
        <w:t>A/1633/2017 - 21/22 - l’examen des pièces du dossier, le recourant n’a pas rendu vraisemblable (art. 18 al. 2 LAI) que ce sont des limitations liées à son état de santé (au sens précisé ci-dessus : consid. 14b) – et non des facteurs dont l’assurance-invalidité n’a pas à répondre, comme le manque de formation par exemple – qui l’entraveraient dans ses démarches pour retrouver un emploi. Il sera précisé, à toutes fins utiles, que les restrictions à la mobilité du recourant (pas de marche prolongée) ne sont pas telles qu’elles l’entraveraient dans sa recherche de travail, par ex. pour participer à des entretiens d'embauche, l’utilisation des transports publics restant quoi qu’il en soit possible.</w:t>
      </w:r>
    </w:p>
    <w:p>
      <w:r>
        <w:rPr>
          <w:b/>
        </w:rPr>
        <w:t>E. 15</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Vu l’issue donnée au recours, il n’y a pas lieu à allocation d’une indemnité de procédure (art. 61 let. g LPGA).</w:t>
      </w:r>
    </w:p>
    <w:p>
      <w:r>
        <w:t>*****</w:t>
      </w:r>
    </w:p>
    <w:p>
      <w:r>
        <w:t>A/1633/2017 - 22/22 -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