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ATAS/226/2016 vom 10. März 2016</w:t>
      </w:r>
    </w:p>
    <w:p>
      <w:r>
        <w:t>GE Cour de justice, 2016-03-10, FR</w:t>
      </w:r>
    </w:p>
    <w:p>
      <w:r>
        <w:rPr>
          <w:b/>
        </w:rPr>
        <w:t xml:space="preserve">Quelle: </w:t>
      </w:r>
      <w:r>
        <w:t>https://mcp.opencaselaw.ch/entscheid/ge_gerichte_ATAS_226_2016</w:t>
      </w:r>
    </w:p>
    <w:p>
      <w:r>
        <w:t>FR: GE_GERICHTE ATAS/226/2016 du 10 mars 2016</w:t>
      </w:r>
    </w:p>
    <w:p>
      <w:r>
        <w:t>IT: GE_GERICHTE ATAS/226/2016 del 10 marzo 2016</w:t>
      </w:r>
    </w:p>
    <w:p>
      <w:pPr>
        <w:pStyle w:val="Heading2"/>
      </w:pPr>
      <w:r>
        <w:t>Erwägungen</w:t>
      </w:r>
    </w:p>
    <w:p>
      <w:r>
        <w:rPr>
          <w:b/>
        </w:rPr>
        <w:t>E. 1</w:t>
      </w:r>
    </w:p>
    <w:p>
      <w:r>
        <w:t>La chambre de céans s’étant déjà prononcée sur la recevabilité du recours (ATAS/1009/2011 du 1er novembre 2011) et sa compétence (ATAS/1320/2014 du 28 décembre 2014), il n’y a pas lieu d’y revenir.</w:t>
      </w:r>
    </w:p>
    <w:p>
      <w:r>
        <w:rPr>
          <w:b/>
        </w:rPr>
        <w:t>E. 2</w:t>
      </w:r>
    </w:p>
    <w:p>
      <w:r>
        <w:t>A teneur de l'art. 1 al. 1 LAI, les dispositions de la LPGA s'appliquent à l'assurance- invalidité, à moins que la loi n'y déroge expressément.</w:t>
      </w:r>
    </w:p>
    <w:p>
      <w:r>
        <w:t>A/1326/2010 - 20/35 -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litige porte sur le droit du recourant à des prestations de la part de l’intimé, singulièrement sur son degré d’invalidité.</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A/1326/2010 - 21/35 -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w:t>
      </w:r>
    </w:p>
    <w:p>
      <w:r>
        <w:t>A/1326/2010 - 22/35 -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w:t>
      </w:r>
    </w:p>
    <w:p>
      <w:r>
        <w:t>A/1326/2010 - 23/35 -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w:t>
      </w:r>
    </w:p>
    <w:p>
      <w:r>
        <w:t>A/1326/2010 - 24/35 -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A/1326/2010 - 25/35 -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w:t>
      </w:r>
    </w:p>
    <w:p>
      <w:r>
        <w:t>A/1326/2010 - 26/35 -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w:t>
      </w:r>
    </w:p>
    <w:p>
      <w:r>
        <w:t>A/1326/2010 - 27/35 -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w:t>
      </w:r>
    </w:p>
    <w:p>
      <w:r>
        <w:t>A/1326/2010 - 28/35 - une évaluation concluante à la lumière des indicateurs déterminants. Suivant le degré et l’ampleur de clarification nécessaire, un complément ponctuel peut dans certaines circonstances suffire (ATF 141 V 281 consid. 8).</w:t>
      </w:r>
    </w:p>
    <w:p>
      <w:r>
        <w:rPr>
          <w:b/>
        </w:rPr>
        <w:t>E. 13</w:t>
      </w:r>
    </w:p>
    <w:p>
      <w:r>
        <w:t>En l’occurrence, il est rappelé au préalable que le recourant a déposé une première demande de prestations de l’assurance-invalidité en mars 1993, laquelle a été rejetée par décision du 15 décembre 1993 au motif que son degré d’invalidité ne s’élevait qu’à 25%. Cette décision est devenue définitive. Le recourant a déposé une deuxième demande en juin 2001, tendant à l’obtention de mesures d’ordre professionnel, et une troisième le 21 mai 2007, visant à l’octroi d’une rente d’invalidité. La deuxième demande a été rejetée par décision sur opposition du 26 janvier 2009, laquelle n’a pas été attaquée et est ainsi devenue définitive. La troisième demande a abouti à la décision du 25 février 2010, qui fait l’objet de la présente procédure.</w:t>
      </w:r>
    </w:p>
    <w:p>
      <w:r>
        <w:rPr>
          <w:b/>
        </w:rPr>
        <w:t>E. 14</w:t>
      </w:r>
    </w:p>
    <w:p>
      <w:r>
        <w:t>a. Dans le cadre de l’instruction de la cause, la chambre de céans a d’abord ordonné une expertise pluridisciplinaire comportant un volet rhumatologique, un volet neurologique et un volet cardiologique. Dans leur rapport du 19 juillet 2012, les experts du CHUV ont conclu à l’absence de troubles organiques évidents et retenu que seul un syndrome douloureux somatoforme était susceptible de limiter la capacité de travail du recourant dans une activité permettant l’alternance des positions assise et debout et limitant le port de charges à 10 kg. Suite aux observations formulées par le recourant, la chambre de céans a requis un complément d’expertise auprès du Prof. P______, qui a rendu un nouveau rapport le 13 novembre 2013. Après avoir mené les investigations supplémentaires suggérées par le recourant, l’expert a exclu toute affection d’origine tumorale ou rhumatismale et écarté les diagnostics de polyarthrite rhumatoïde et de spondylarthrite ankylosante. Il a maintenu qu’il n’y avait pas de limitation fonctionnelle détectable à l’examen clinique objectif, mis à part une raideur fonctionnelle de la région lombaire, et que la capacité de travail était entière dans une activité sédentaire légère et de 75% dans une activité manuelle adaptée (travaux de nettoyage, de jardinage avec aménagement). b. La chambre de céans constate que le rapport d’expertise du CHUV répond aux critères jurisprudentiels pour que lui soit reconnue une pleine valeur probante. Ce document se fonde en effet sur toutes les pièces du dossier, relate les plaintes du recourant, comprend des anamnèses détaillées et les conclusions des experts, dûment motivées, reposent sur des investigations approfondies. Chaque expert a discuté les diagnostics retenus dans son domaine, leur influence sur la capacité de travail et les limitations fonctionnelles, puis ils ont livré une appréciation consensuelle. Si le recourant a contesté dans un premier temps la valeur probante de cette expertise, qu’il jugeait incomplète, il n’a formulé aucun grief à l’encontre des conclusions médicales de son complément (cf. notamment son écriture du</w:t>
      </w:r>
    </w:p>
    <w:p>
      <w:r>
        <w:t>A/1326/2010 - 29/35 - 13 janvier 2014). L’appréciation des experts n’est remise en doute par aucun document et rien ne justifie de s’en écarter. c. Partant, la chambre de céans fera siennes les conclusions de l’expertise pluridisciplinaire du CHUV concernant l’état de santé physique du recourant.</w:t>
      </w:r>
    </w:p>
    <w:p>
      <w:r>
        <w:rPr>
          <w:b/>
        </w:rPr>
        <w:t>E. 15</w:t>
      </w:r>
    </w:p>
    <w:p>
      <w:r>
        <w:t>a. Dès lors que les experts du CHUV ont retenu le diagnostic de trouble somatoforme douloureux, la chambre de céans a confié une expertise psychiatrique judiciaire au Dr X______, afin d’examiner si les conditions posées par la jurisprudence pour reconnaître à cette atteinte psychique un caractère invalidant étaient réalisées. L’expert psychiatre judiciaire a conclu qu’en l’état, seule une activité dans un milieu protégé serait possible, mais qu’après des mesures médicales indispensables et une aide adéquate, une activité lucrative dans l’économie de marché serait envisageable, à hauteur de 30% au maximum. b. Le rapport du Dr X______ du 6 juillet 2015 répond lui aussi aux réquisits jurisprudentiels en matière de valeur probante : cette expertise, dépourvue de contradiction, est basée sur le dossier complet du recourant et fait suite à un entretien psychologique et à un examen psychiatrique ; l’expert s’est par ailleurs entouré de tous les renseignements utiles, prenant notamment contact avec la psychiatre et la psychologue ayant suivi le recourant, et sollicitant un examen neuropsychologique. L’expert a présenté des anamnèses fouillées et procédé aux tests qui s’imposaient. Il a méticuleusement motivé chaque diagnostic retenu et s’est prononcé sur les rapports des autres psychiatres, en justifiant notamment les raisons pour lesquelles il s’écartait de l’appréciation de la Dresse H______, mandatée en 2004. L’expert a en outre précisément répondu aux questions posées par la chambre de céans. Il sied donc d’examiner si d’autres spécialistes ont émis des opinions contraires aptes à mettre sérieusement en doute la pertinence des déductions du Dr X______.</w:t>
      </w:r>
    </w:p>
    <w:p>
      <w:r>
        <w:rPr>
          <w:b/>
        </w:rPr>
        <w:t>E. 16</w:t>
      </w:r>
    </w:p>
    <w:p>
      <w:r>
        <w:t>Dans leur avis du 19 août 2015, les Dresses V______ et W______ ont considéré qu’une activité adaptée aux limitations fonctionnelles somatiques et tenant compte du fonctionnement intellectuel limité était exigible à 75%. Les médecins du SMR reprochent en premier lieu à l’expert de ne pas avoir précisément indiqué depuis quand la capacité de travail n’est plus exigible. La chambre de céans relève cependant que si le Dr X______ a effectivement expliqué qu’il était très difficile de reconstituer « a posteriori » l’évolution de l’état de santé psychique du recourant - d’autant que le dossier ne comporte qu’un seul document attestant d’une atteinte psychiatrique majeure et durable, soit le rapport de la Dresse T______ du 12 juin 2014 -, il a néanmoins conclu qu’il était « évident » que le recourant était incapable d’actualiser une quelconque capacité de travail sans une aide spécialisée « déjà depuis 2002 » (expertise p. 42), le recourant ayant travaillé pour son ancien employeur jusqu’au « 21.12.2001 » (expertise p. 37). La chambre de céans rappelle que le recourant a sollicité des mesures</w:t>
      </w:r>
    </w:p>
    <w:p>
      <w:r>
        <w:t>A/1326/2010 - 30/35 - professionnelles en 2001, lesquelles lui ont été refusées par l’intimé par décision du 26 janvier 2009. C’est dire qu’il ne disposait d’aucune capacité de travail résiduelle, dès lors que les mesures adéquates et indispensables ne lui ont pas été accordées. Concernant le diagnostic d’épisode dépressif majeur, en rémission partielle, les Dresses V______ et W______ relèvent que le recourant n’a bénéficié d’aucun suivi psychiatrique suite au décès de sa mère ; elles arguent que les dépressions dans un contexte de deuil sont considérées comme réactionnelles et sans répercussions sur la capacité de travail et qu’une dépression d’intensité légère n’est pas incapacitante. Elles ajoutent que le code F32.5 utilisé par l’expert n’existe pas et que la constatation clinique d’une « rémission partielle » impose de préciser le degré d’intensité actuel de l’épisode dépressif. Aucun de ces arguments ne saurait être suivi. Tout d’abord, la chambre de céans observe que l’expert a conclu que le tableau dysthymique remontait « en tout cas à 2002, début de la période d’inactivité » (expertise p. 33), précisant qu’il ressortait de ses consiliums avec la psychiatre traitant et l’ancienne psychologue un fort sentiment d’inutilité et une perte identitaire suite à l’arrêt de travail (expertise p. 33). Lors du décès de sa mère en 2013, il était certain que le recourant avait développé un état dépressif majeur et sévère qui a persisté pendant plusieurs mois et était encore grave en 2014 (expertise p. 37 et 38), comme en atteste la Dresse T______, qui a signalé que le recourant souffrait « depuis plusieurs années » d’un trouble dépressif, même s’il n’avait jamais été formellement diagnostiqué (rapport du 12 juin 2014). Dans ces conditions, rien ne permet de considérer, comme le font les médecins du SMR, que l’état dépressif serait réactionnel au décès de sa mère. Il apparait au contraire qu’il lui est antérieur, mais qu’il a connu une aggravation significative en 2013. Ensuite, la chambre de céans remarque que le Dr X______ s’est bien prononcé sur l’état actuel de l’épisode dépressif en rémission puisqu’il l’a qualifié de « gravité légère » (expertise p. 38). Enfin, le fait que le code « F32.5 » soit erroné puisqu’il n’existe pas dans la CIM- 10 est sans conséquence, vu la précision avec laquelle l’expert a posé son diagnostic « épisode dépressif majeur, isolé, en rémission partielle » (expertise p. 30). Comme l’a d’ailleurs relevé la Dresse T______ dans son rapport du 15 octobre 2015, une telle erreur peut avoir été induite par l’utilisation parallèle de deux classifications diagnostiques. S’agissant du trouble somatoforme douloureux persistant (F45.4), les médecins du SMR sont d’avis que les critères pour le retenir ne sont pas réunis et lui préfèrent le diagnostic d’autre trouble somatoforme (F45.8) ou de trouble somatoforme différencié (F45.1). Elles indiquent à cet égard qu’un trouble somatoforme douloureux persistant implique la présence d’un tableau douloureux persistant associé à un degré de détresse important. Or, selon elles, la douleur apparait</w:t>
      </w:r>
    </w:p>
    <w:p>
      <w:r>
        <w:t>A/1326/2010 - 31/35 - fluctuante et le recourant ne présente ni détresse importante ni rétrécissement du champ de la pensée sur les douleurs. La chambre de céans relève de prime abord que l’existence de douleurs persistantes et chroniques est attestée par l’ensemble des pièces produites (cf. notamment rapports des Drs C______ et D______ du 9 juillet 2001, du Dr D______ des 20 juillet 2004 et 13 novembre 2007, du COMAI du 27 décembre 2004, du Dr O______ du 5 août 2010, et du rapport d’expertise du CHUV du 19 juillet 2012). De plus, elle relève que le SMR ne s’est pas opposé au diagnostic de syndrome douloureux lorsqu’il a été posé par les experts du CHUV (cf. avis de la Dresse V______ du 29 octobre 2012 et du 20 janvier 2014) et que la Dresse M______, du SMR, l’a également retenu, dans son rapport du 22 janvier 2008. Le Dr X______ a clairement expliqué que le trouble douloureux s’est développé progressivement depuis 2002 et est devenu plus prononcé à partir de 2009-2010, suite à l’aggravation de l’état de santé de la mère de l’intéressé. De surcroît, le diagnostic de trouble somatoforme douloureux persistant a également été retenu par la Dresse T______ (cf. rapport du 15 octobre 2015). Rien ne permet donc de lui substituer celui d’autre trouble somatoforme ou de trouble somatoforme différencié. Concernant le trouble de conversion, les médecins du SMR arguent qu’il n’est pas possible de retenir conjointement un trouble de conversion et un trouble douloureux, ces deux diagnostics s’excluant. Cette opinion, d’ailleurs considérée comme erronée par la Dresse T______ (cf. rapport du 15 octobre 2015), s’apparente à une évaluation différente d’un même état de fait et est insuffisante pour remettre en cause les conclusions de l’expert. Quant au diagnostic de trouble de la personnalité non-spécifié décompensé, les Dresses V______ et W______ considèrent que l’expertise ne permet pas de comprendre sur quels critères il repose et relèvent que le recourant a été capable de travailler régulièrement pendant plusieurs années. La chambre de céans constate cependant que l’expert a dûment motivé les éléments le conduisant à retenir ce trouble dont il précise qu’il consiste en une « personnalité fruste et abandonnique ». Il s’est notamment référé à la perte précoce, impromptue et traumatique qu’a vécue l’assuré de son père à l’âge de 10 ans, associée à un sentiment d’injustice, qui a probablement induit une fragilisation de la personnalité sur un mode abandonnique, accentué la tendance fusionnelle avec sa mère et induit d’importantes lacunes dans son développement affectif précoce. L’expert rappelle à cet égard que l’assuré est presque illettré et qu’il ne dispose d’aucune capacité d’introspection et de représentation. L’examen neuropsychologique a d’ailleurs mis en exergue un déficit de l’intelligence, voire un retard mental léger. De plus, la personnalité a probablement été davantage fragilisée à l’âge adulte par l’éloignement avec son épouse et ses enfants. Une réactivation des éléments abandonniques précoces a eu lieu à la mort de sa mère, puis au départ de ses enfants. La perte d’activité a occasionné une fragilisation supplémentaire chez le recourant en le privant de son rôle de chef de famille. Le fort sentiment d’inutilité a</w:t>
      </w:r>
    </w:p>
    <w:p>
      <w:r>
        <w:t>A/1326/2010 - 32/35 - engendré une blessure narcissique. Enfin, l’assuré a subi une opération qui a contribué à sa déstabilisation dans la mesure où il a pu craindre une issue fatale (expertise p. 35 et 36). Les conclusions et explications du Dr X______ sont sérieusement motivées et convaincantes. Le fait que la pathologie fruste n’existe pas dans la CIM-10 est irrelevant puisque le diagnostic retenu est un trouble de la personnalité non spécifié (F60.9), soit une catégorie résiduelle du trouble de la personnalité. Enfin, le grief du SMR à l’encontre des tests neuropsychologiques n’apparaît pas justifié, étant souligné que lesdits tests ont été réalisés par un spécialiste et approuvés par l’expert, ainsi que par la Dresse T______. Eu égard à tout ce qui précède, la chambre de céans considère que l’appréciation divergente du SMR n’est pas de nature à remettre en cause les conclusions de l’expertise judiciaire, à laquelle elle reconnaît pleine valeur probante.</w:t>
      </w:r>
    </w:p>
    <w:p>
      <w:r>
        <w:rPr>
          <w:b/>
        </w:rPr>
        <w:t>E. 17</w:t>
      </w:r>
    </w:p>
    <w:p>
      <w:r>
        <w:t>C’est encore le lieu de rappeler que la jurisprudence relative aux troubles somatoformes douloureux et aux affections y assimilées a changé depuis le mandat d’expertise. Un changement de jurisprudence s’applique pour les affaires pendantes devant un tribunal au moment du changement de jurisprudence (ATF 108 V 3), de sorte que la modification à laquelle a procédé le Tribunal fédéral dans son arrêt du 3 juin 2015 doit être prise en considération pour résoudre le présent litige. La chambre de céans constate que l’expertise judiciaire du Dr X______ est suffisamment détaillée pour permettre de vérifier l’application des nouveaux critères jurisprudentiels relatifs au caractère invalidant d’un trouble somatoforme douloureux. En effet, l’expert a mis en exergue les facteurs extérieurs incapacitants, traduits par les diagnostics et les limitations fonctionnelles du recourant. Il a notamment exposé qu’il existait de nombreuses limitations liées aux symptômes handicapants tels que la labilité de l’humeur, la polyalgie diffuse, les pertes de force et de sensibilité, le trouble visuel, la tension psychique majeure, la fatigue et la fatigabilité, la sensation vertigineuse ou encore la décompensation globale de la personnalité (expertise p 39). Il a précisé que l’atteinte somatoforme, le trouble dépressif et l’atteinte à la personnalité ne peuvent pas être dissociés et que tous ces diagnostics rendent la capacité de travail inexistante en l’état (expertise p 38). Il existe ainsi une comorbidité psychiatrique importante sous forme de troubles sur l’Axe I (psychopathologie) et sur l’Axe II (personnalité et intelligence ; expertise p. 39). Le trouble somatoforme est complexe et comporte également un trouble conversif, de qualité mixte (sensitif et moteur) touchant surtout l’hémicorps droit, ce qui est un indice de gravité supplémentaire. Le tout se complique par la présence d’une personnalité de type fruste, peu différenciée, mais également décomposée sur un</w:t>
      </w:r>
    </w:p>
    <w:p>
      <w:r>
        <w:t>A/1326/2010 - 33/35 - mode abandonnique, surtout depuis septembre 2013. Cette pathologie doit être considérée comme grave et chronifiée (expertise p. 40). L’expert s’est également prononcé sur les ressources du recourant et ses capacités adaptatives, jugées minimes vu son déficit intellectuel (expertise p. 42), ainsi que sur son entourage familial et social, relevant les tensions conjugales et l’épuisement progressif de l’ensemble du réseau familial qui soutenait le recourant (expertise p. 45). L’expert a souligné le fort sentiment d’inutilité et la perte identitaire qui ont suivi l’arrêt de l’activité professionnelle, et considéré que le recourant n’avait « nullement exagéré ses douleurs », que ses plaintes n’avaient pas été démonstratives et qu’elles avaient « clairement suscité l’empathie de l’expert ». Il a ajouté que le recourant a une demande « évidente de soins, que ce soit sur le plan somatique comme psychiatrique » (expertise p. 44). Il a également suggéré des propositions thérapeutiques, soit un traitement antidépresseur et une prise en charge psychothérapeutique régulière, subsidiairement des mesures réadaptatives dans un milieu protégé (expertise p. 43). L’expertise permet ainsi de confirmer, en application de la nouvelle jurisprudence du Tribunal fédéral, le caractère invalidant du trouble somatoforme douloureux à hauteur de 100%, sans qu’un complément d’expertise ne soit nécessaire. La chambre de céans observe au demeurant que les Dresses V______ et W______, bien qu’elles aient estimé la capacité de travail du recourant à 75% dans une activité respectant les limitations fonctionnelles somatiques, ont précisé que ladite activité devrait en outre être simple et répétitive, avec des consignes claires, et que le recourant devrait être supervisé. Elles ont encore ajouté que l’intéressé avait « impérativement besoin d’un accompagnement spécialisé pour retrouver une activité adaptée pour autant que celle-ci existe ». Force est donc de constater que le SMR lui-même admet que des mesures préalables sont indispensables et qu’il semble lui aussi douter qu’une activité adaptée puisse exister dans l’économie libre. La chambre de céans relève encore à ce propos que, bien que le SMR ait préconisé l’octroi de mesures d’accompagnement (cf. rapports de la Dresse M______ du</w:t>
      </w:r>
    </w:p>
    <w:p>
      <w:r>
        <w:rPr>
          <w:b/>
        </w:rPr>
        <w:t>E. 22</w:t>
      </w:r>
    </w:p>
    <w:p>
      <w:r>
        <w:t>janvier 2008 et du Dr N______), l’intimé n’en a pas accordé au recourant. 18. Reste à examiner à partir de quand la rente entière d’invalidité doit être versée au recourant, étant rappelé que ce dernier a déposé sa demande en mai 2007. En vertu de l’art. 29 al. 1 LAI (dans sa teneur en vigueur jusqu’au 31 décembre 2007), le droit à la rente au sens de l’art. 28 prend naissance au plus tôt à la date dès laquelle l’assuré présente une incapacité de gain durable de 40% au moins (art. 7 LPGA), ou dès laquelle l’assuré a présenté, en moyenne, une incapacité de travail de 40 % au moins pendant une année sans interruption notable (art. 6 LPGA).</w:t>
      </w:r>
    </w:p>
    <w:p>
      <w:r>
        <w:t>A/1326/2010 - 34/35 - En l’occurrence, le recourant a présenté une incapacité de travail totale dès 2002. Il a donc droit à une rente entière à compter du 1er janvier 2003. 19. Au vu de ce qui précède, il se justifie d’admettre partiellement le recours, d’annuler la décision du 25 février 2010 et de reconnaître au recourant le droit à une rente entière d’invalidité dès le 1er janvier 2003. Le recourant obtenant partiellement gain de cause, une indemnité de CHF 4’000.- lui sera accordée à titre de participation à ses frais et dépens (art. 61 let. g LPGA ; art. 89 H LPA ; art. 6 du règlement sur les frais, émoluments et indemnités en procédure administrative du 30 juillet 1986 [RFPA - E 5 10.03]). Etant donné que, depuis le 1er juillet 2006, la procédure n’est plus gratuite (art. 69 al. 1bis LAI), au vu du sort du recours, il y a lieu de condamner l’intimé au paiement d’un émolument de CHF 500.-.</w:t>
      </w:r>
    </w:p>
    <w:p>
      <w:r>
        <w:t>A/1326/2010 - 35/35 -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