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ATAS/226/2014 vom 25. Februar 2014</w:t>
      </w:r>
    </w:p>
    <w:p>
      <w:r>
        <w:t>GE Cour de justice, 2014-02-25, FR</w:t>
      </w:r>
    </w:p>
    <w:p>
      <w:r>
        <w:rPr>
          <w:b/>
        </w:rPr>
        <w:t xml:space="preserve">Quelle: </w:t>
      </w:r>
      <w:r>
        <w:t>https://mcp.opencaselaw.ch/entscheid/ge_gerichte_ATAS_226_2014</w:t>
      </w:r>
    </w:p>
    <w:p>
      <w:r>
        <w:t>FR: GE_GERICHTE ATAS/226/2014 du 25 février 2014</w:t>
      </w:r>
    </w:p>
    <w:p>
      <w:r>
        <w:t>IT: GE_GERICHTE ATAS/226/2014 del 25 febbraio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t>A/3044/2013 - 6/12 -</w:t>
      </w:r>
    </w:p>
    <w:p>
      <w:r>
        <w:rPr>
          <w:b/>
        </w:rPr>
        <w:t>E. 4</w:t>
      </w:r>
    </w:p>
    <w:p>
      <w:r>
        <w:t>Le litige concerne le droit du recourant à des prestations de l'intimé au-delà du 31 décembre 2010, en particulier sur le lien de causalité entre les troubles subsistants et l'accident. Plus particulièrement, il s’agit de déterminer si, malgré la stabilisation de son état de santé, le recourant présente des séquelles qui sont dues au moins partiellement à l’accident ou si le «statu quo sine vel ante» est atteint. Corollairement, le litige porte sur le droit de l'assuré à une rente d’invalidité, au vu de sa capacité de travail nulle dans son activité antérieure et entière dans une activité adaptée, ainsi que sur son droit à une indemnité pour atteinte à l’intégrité.</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w:t>
      </w:r>
    </w:p>
    <w:p>
      <w:r>
        <w:t>A/3044/2013 - 7/12 -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le lorsque le statu quo ante ou sine est atteint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Selon l'art. 36 al. 2 LAA, l'IPAI et la rente d'invalidité sont réduites de manière équitable lorsque l'atteinte à la santé n'est que partiellement due à l'accident. Toutefois, en réduisant la rente, on ne tient pas compte d'états antérieurs qui ne portaient pas atteinte à la capacité de gain.</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w:t>
      </w:r>
    </w:p>
    <w:p>
      <w:r>
        <w:t>A/3044/2013 - 8/12 - habituellement pas selon l'expérience médicale (ATF 118 V 286 consid. 3a et ATF 117 V 359 consid. 5d/bb; ATFA non publié U 351/04 du 14 février 2006, consid. 3.2).</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10</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w:t>
      </w:r>
    </w:p>
    <w:p>
      <w:r>
        <w:t>A/3044/2013 - 9/12 -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11</w:t>
      </w:r>
    </w:p>
    <w:p>
      <w:r>
        <w:t>En l'espèce, se fondant sur l’avis de son médecin-conseil du 20 juillet 2011 et l’arthro-IRM du 27 avril 2011, l’intimée a refusé toute prestation au-delà du 31 décembre 2010 au motif que les troubles résiduels n’étaient plus en lien de causalité avec l’accident mais avec un trouble dégénératif du tendon du sus-épineux droit. Il convient en premier lieu de rappeler que le rapport du médecin-conseil de l'assurance peut être probant, même sans examen de l'assuré, pour autant qu'il se fonde sur les rapports des médecins qui l'ont examiné et sur les IRM, ce qui est le cas. Reste à déterminer si les conclusions du Dr M________ sont motivées et convaincantes. Il affirme qu'il ressort de l'IRM du 27 avril 2011 que l'assuré présente un début de petite déchirure sur un autre tendon, de sorte que cela ne peut s'expliquer que par un processus dégénératif. Selon le rapport de l'IRM pratiquée le 3 avril 2009, le tendon sous-épineux et le tendons sus-épineux présentent une surface hétérogène au niveau de l'insertion, ce qui évoque une déchirure partielle. C'est d'ailleurs une déchirure de la face articulaire du tendon sus-épineux sur toute sa largeur qui est confirmée et réparée lors de l'intervention du 2 juillet 2009. L'IRM pratiquée le 28 avril 2010 révèle une récidive de déchirure du tendon sus- épineux largement transfixiante de 20mm sur 25mm qui est suturée lors de l'intervention du 20 mai 2010, alors que celle du 27 avril 2011 montre en effet une petite déchirure de tendon sous-épineux de 5mm. Sur ce point donc, l'avis du Dr M________ est fondé, car cette déchirure d'un autre tendon est manifestement sans lien avec l'accident. Ainsi, les frais médicaux liés à la déchirure découverte en avril 2011 ne sont en tout cas pas à la charge de l'assurance. Toutefois, le Dr M________ s’est borné à se prononcer sur le lien de causalité entre le traitement médical dès le 1er janvier 2011 et l’accident, sans examiner si les limitations fonctionnelles du recourant, dûment constatées par le Dr L________ et supprimant toute capacité de travail dans son activité antérieure, ainsi que les douleurs traitées par des médicaments, étaient en lien de causalité avec l’accident, nonobstant l’apparition d’un éventuel trouble dégénératif du tendon du sus-épineux droit. A cet égard, le Dr M________ ne prétend pas que ces limitations seraient dues à la déchirure découverte en avril 2011, minime et n'ayant pas nécessité</w:t>
      </w:r>
    </w:p>
    <w:p>
      <w:r>
        <w:t>A/3044/2013 - 10/12 - d'intervention. Il se contente d'indiquer que l'évolution constatée lors de l'IRM d'avril 2010 est étonnante à 10 mois de la première intervention chirurgicale, sans indiquer clairement que les lésions alors constatées seraient exclusivement dues à une maladie. Si l'on peut déduire de ses propos et retenir qu'il est vraisemblable que cette deuxième déchirure n'est pas directement causée par l'accident, on ne sait pas si les lésions apparues en avril 2010 sont liées à la première intervention ou s'il s'agit d'une aggravation d'un état maladif dû à l'accident. Au surplus, le Dr M________ ne se prononce pas sur l'origine des limitations qui persistent. Il n’a ainsi pas déterminé si l'état de santé du recourant au 31 décembre 2010 était similaire à celui qui existait immédiatement avant l'accident (statu quo ante) ou à celui qui serait survenu tôt ou tard même sans l'accident par suite d'un développement ordinaire (statu quo sine) ou encore s’il y avait un état maladif préexistant qui aurait été causé ou aggravé par l'accident. En conséquence, les rapports du Dr M________ ne permettent pas d'établir qu'il n'y aurait plus de lien de causalité entre l'accident et l'état de santé de l'assuré au-delà du 31 décembre 2010 ou, en d'autres termes, que ces troubles seraient exclusivement dus à un état maladif et ils sont insuffisants pour statuer en toute connaissance de cause sur la clôture du cas. A cet égard, ni les rapports du Dr L________ ni celui du Dr N________ ne permettent de trancher ces questions. S'il est vrai qu'ils ne distinguent pas les séquelles de l'accident et d'une éventuelle atteinte dégénérative, le Dr M________ n'indique pas non plus de façon motivée, contrairement à ce que soutient l'assurance, que la rupture du tendon apparue en avril 2010, qui est probablement due à une affection maladive et non pas à l'accident, serait seule responsable de l'ensemble des séquelles, à l'exclusion de l'accident. A défaut d'instruction suffisante sur ces points, il se justifie donc d'annuler la décision et de renvoyer la cause à l'intimée afin qu'elle mette sur pied une expertise de l'assuré, confiée à un spécialiste reconnu, qui devra examiner l'assuré et interroger le Dr L________ et discuter son avis s'agissant du lien de causalité entre les troubles résiduels et l'accident, et l'expert devra précisément motiver ses réponses aux questions susmentionnées.</w:t>
      </w:r>
    </w:p>
    <w:p>
      <w:r>
        <w:rPr>
          <w:b/>
        </w:rPr>
        <w:t>E. 12</w:t>
      </w:r>
    </w:p>
    <w:p>
      <w:r>
        <w:t>Cela étant dit, l'assuré ayant recouvré une pleine capacité de travail dans une activité adaptée dès le 6 décembre 2010 selon l'avis convergent des Drs L________ et M________, c'est à juste titre que l'assurance a mis un terme au versement des indemnités journalières au-delà du 31 décembre 2010. Ensuite, l'examen du droit à la prise en charge du traitement médical, du droit à une rente d'invalidité et, le cas échéant, à une IPAI, devra être effectué à l'issue de l'instruction médicale complémentaire précitée. Ce n'est que s'il est confirmé que les troubles au-delà du 31 décembre 2010 sont exclusivement dus à une atteinte dégénérative maladive, que celle-ci n'a pas été aggravée par l'accident et qu'il n'y a donc plus de lien de causalité avec celui-ci, que l'assurance pourra alors refuser toute prestation à l'assuré (frais médicaux, rente et IPAI). A défaut, il conviendra de fixer en</w:t>
      </w:r>
    </w:p>
    <w:p>
      <w:r>
        <w:t>A/3044/2013 - 11/12 - application de l'art 36 LAA notamment, les prestations de l'assurance. A propos de l'éventuelle rente d'invalidité, outre le fait que la loi ne prévoit pas de fixer le revenu sans invalidité sur la base d'une évolution de carrière prévisible, sauf dans les cas de l'art. 28 OLAA non réalisés, la spectaculaire évolution de revenu alléguée par l'assuré est invraisemblable, le nombre de poulets rôtis vendus n'augmentant pas avec l'expérience.</w:t>
      </w:r>
    </w:p>
    <w:p>
      <w:r>
        <w:rPr>
          <w:b/>
        </w:rPr>
        <w:t>E. 13</w:t>
      </w:r>
    </w:p>
    <w:p>
      <w:r>
        <w:t>Ainsi, le recours est partiellement admis et la cause est renvoyée à l'intimé pour une instruction complémentaire dans le sens des considérants. L'assuré obtenant partiellement gain de cause, une indemnité de procédure de CHF 1'200.- lui sera allouée au vu du temps consacré à la cause par son conseil, eu égard aux développements juridiques limités. Au surplus, la procédure est gratuite.</w:t>
      </w:r>
    </w:p>
    <w:p>
      <w:r>
        <w:t>A/3044/2013 - 12/12 -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