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ATAS/225/2023 vom 29. März 2023</w:t>
      </w:r>
    </w:p>
    <w:p>
      <w:r>
        <w:t>GE Cour de justice, 2023-03-29, FR</w:t>
      </w:r>
    </w:p>
    <w:p>
      <w:r>
        <w:rPr>
          <w:b/>
        </w:rPr>
        <w:t xml:space="preserve">Quelle: </w:t>
      </w:r>
      <w:r>
        <w:t>https://mcp.opencaselaw.ch/entscheid/ge_gerichte_ATAS_225_2023</w:t>
      </w:r>
    </w:p>
    <w:p>
      <w:r>
        <w:t>FR: GE_GERICHTE ATAS/225/2023 du 29 mars 2023</w:t>
      </w:r>
    </w:p>
    <w:p>
      <w:r>
        <w:t>IT: GE_GERICHTE ATAS/225/2023 del 29 marzo 2023</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droit du recourant aux prestations de l’intimée au-delà du 21 septembre 2019.</w:t>
      </w:r>
    </w:p>
    <w:p>
      <w:r>
        <w:rPr>
          <w:b/>
        </w:rPr>
        <w:t>E. 4.1</w:t>
      </w:r>
    </w:p>
    <w:p>
      <w:r>
        <w:t>Selon l'art. 6 al. 1 LAA, les prestations d'assurance sont allouées en cas d'accident professionnel, d'accident non professionnel et de maladie professionnelle. Par accident, on entend toute atteinte dommageable, soudaine et</w:t>
      </w:r>
    </w:p>
    <w:p>
      <w:r>
        <w:t>A/446/2021 - 7/10 -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4.2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w:t>
      </w:r>
    </w:p>
    <w:p>
      <w:r>
        <w:t>A/446/2021 - 8/10 -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4.3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4.4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w:t>
      </w:r>
    </w:p>
    <w:p>
      <w:r>
        <w:t>A/446/2021 - 9/10 - assurances sociales, un principe selon lequel l’administration ou le juge devrait statuer, dans le doute, en faveur de l’assuré (ATF 126 V 319 consid. 5a).</w:t>
      </w:r>
    </w:p>
    <w:p>
      <w:r>
        <w:rPr>
          <w:b/>
        </w:rPr>
        <w:t>E. 5</w:t>
      </w:r>
    </w:p>
    <w:p>
      <w:r>
        <w:t>En l’espèce, le recourant fait valoir que son atteinte à l’omoplate droite est lien de causalité avec son accident du 12 juin 2019, ce que l’intimée conteste. L’expertise judiciaire répond aux réquisits pour se voir reconnaître une pleine valeur probante. Le bref rapport, non motivé, établi le 24 septembre 2019 par le Dr L______, dont on ignore la spécialité, ne suffit pas à remettre en cause les conclusions motivées et convaincantes de l’expert, qui les a confirmées après en avoir pris connaissance. Le fait que l’expert ait considéré que ce rapport était fantaisiste et de complaisance ne remet pas sérieusement en cause la valeur probante de ses conclusions, dans la mesure où son rapport principal est convaincant et ne contient aucune remarque inappropriée, ce qui ne correspond pas à la situation de l’arrêt cité par le recourant, relatif à une expertise qui était entachée de plusieurs défauts majeurs qui dénotaient un manque certain de rigueur scientifique, notamment un manque de structure, des lacunes au niveau des informations recueillies et une absence de partie consacrée à une discussion générale du cas (arrêt du Tribunal fédéral 9C_603/2009 consid. 4.2). Sur la base de l’expertise du Dr K______, il convient de retenir une absence de lien de causalité naturelle et adéquate établie au degré de la vraisemblance prépondérante entre l’atteinte à l’épaule du recourant et l’événement du 12 juin 2019. La décision querellée était dès lors bien fondée et elle doit être confirmée.</w:t>
      </w:r>
    </w:p>
    <w:p>
      <w:r>
        <w:rPr>
          <w:b/>
        </w:rPr>
        <w:t>E. 6</w:t>
      </w:r>
    </w:p>
    <w:p>
      <w:r>
        <w:t>Au vu de ce qui précède, le recours est rejeté. Pour le surplus, la procédure est gratuite (art. 61 let. fbis LPGA a contrario).</w:t>
      </w:r>
    </w:p>
    <w:p>
      <w:r>
        <w:t>A/446/2021 - 10/10 -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