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ATAS/225/2021 vom 17. März 2021</w:t>
      </w:r>
    </w:p>
    <w:p>
      <w:r>
        <w:t>GE Cour de justice, 2021-03-17, FR</w:t>
      </w:r>
    </w:p>
    <w:p>
      <w:r>
        <w:rPr>
          <w:b/>
        </w:rPr>
        <w:t xml:space="preserve">Quelle: </w:t>
      </w:r>
      <w:r>
        <w:t>https://mcp.opencaselaw.ch/entscheid/ge_gerichte_ATAS_225_2021</w:t>
      </w:r>
    </w:p>
    <w:p>
      <w:r>
        <w:t>FR: GE_GERICHTE ATAS/225/2021 du 17 mars 2021</w:t>
      </w:r>
    </w:p>
    <w:p>
      <w:r>
        <w:t>IT: GE_GERICHTE ATAS/225/2021 del 17 marzo 2021</w:t>
      </w:r>
    </w:p>
    <w:p>
      <w:pPr>
        <w:pStyle w:val="Heading2"/>
      </w:pPr>
      <w:r>
        <w:t>Erwägungen</w:t>
      </w:r>
    </w:p>
    <w:p>
      <w:r>
        <w:rPr>
          <w:b/>
        </w:rPr>
        <w:t>E. 15</w:t>
      </w:r>
    </w:p>
    <w:p>
      <w:r>
        <w:t>mai 2019, faute de domicile en Suisse. Cette décision est entrée en force, dès lors que le recours interjeté auprès de la chambre de céans contre elle a été retiré, ce que la chambre a constaté dans son arrêt du 2 septembre 2020. Il en résulte que la question du droit du recourant aux prestations du chômage est définitivement jugée et qu'il n'y a pas lieu de revenir, dans le cadre du présent litige, sur la question de son domicile. La chambre de céans ne peut que constater que l’art. 8 al. 1 LACI,</w:t>
      </w:r>
    </w:p>
    <w:p>
      <w:r>
        <w:t>A/4063/2020 - 5/6 - qui fonde le droit à l’indemnité de chômage, n'a pas été correctement appliqué, faute de domicile en Suisse du recourant, et, partant, que le versement des indemnités était manifestement erroné. La rectification de cette erreur revêt une importance notable, vu le montant conséquent des indemnités versées à tort, lequel s’élève à CHF 61'373.30. Il en découle que c’est à juste titre que l’intimée a réclamé la restitution des prestations indûment versées au recourant dans la décision querellée. 9. a. Reste à examiner si la demande en restitution de l'intimée est intervenue en temps utile. b. Aux termes de l’art. 25 al. 2 LPGA, dans sa teneur jusqu’au 31 décembre 2020, le droit de demander la restitution s’éteint un an après le moment où l’institution d’assurance a eu connaissance du fait, mais au plus tard cinq ans après le versement de la prestation. Nonobstant la terminologie légale, il s'agit de délais de péremption (ATF 124 V 380,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Selon la jurisprudence, le délai de péremption d'une année commence à courir dès le moment où la caisse de chômage aurait dû connaître les faits fondant l'obligation de restituer, en faisant preuve de l'attention que l'on pouvait raisonnablement exiger d'elle (ATF 122 V 270, consid. 5a). Il commence à courir dans tous les cas dès qu'il s'avère que les prestations en question étaient indues (arrêt du Tribunal fédéral des assurances K 70/06 du 30 juillet 2007 consid. 5.1). c. En l'occurrence, l'intimée a adressé sa décision de restitution au recourant le 11 novembre 2019, soit cinq jours après la décision de l’OCE du 6 novembre 2019, fondant l'obligation de restituer. Force est donc de constater que le délai d'une année prévu par l'art. 25 LPGA a ainsi été respecté. 10. Eu égard aux considérations qui précèdent, le recours doit être rejeté. 11. La procédure est gratuite.</w:t>
      </w:r>
    </w:p>
    <w:p>
      <w:r>
        <w:t>A/4063/2020 - 6/6 -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