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ATAS/224/2026 vom 18. März 2026</w:t>
      </w:r>
    </w:p>
    <w:p>
      <w:r>
        <w:t>GE Cour de justice, 2026-03-18, FR</w:t>
      </w:r>
    </w:p>
    <w:p>
      <w:r>
        <w:rPr>
          <w:b/>
        </w:rPr>
        <w:t xml:space="preserve">Quelle: </w:t>
      </w:r>
      <w:r>
        <w:t>https://mcp.opencaselaw.ch/entscheid/ge_gerichte_ATAS_224_2026</w:t>
      </w:r>
    </w:p>
    <w:p>
      <w:r>
        <w:t>FR: GE_GERICHTE ATAS/224/2026 du 18 mars 2026</w:t>
      </w:r>
    </w:p>
    <w:p>
      <w:r>
        <w:t>IT: GE_GERICHTE ATAS/224/2026 del 18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A/3132/2025 - 5/6 -</w:t>
      </w:r>
    </w:p>
    <w:p>
      <w:r>
        <w:rPr>
          <w:b/>
        </w:rPr>
        <w:t>E. 1.2</w:t>
      </w:r>
    </w:p>
    <w:p>
      <w:r>
        <w:t>Interjeté en temps utile, le recours est prima facie recevable (art. 60 al. 1 LPGA).</w:t>
      </w:r>
    </w:p>
    <w:p>
      <w:r>
        <w:rPr>
          <w:b/>
        </w:rPr>
        <w:t>E. 1.3</w:t>
      </w:r>
    </w:p>
    <w:p>
      <w:r>
        <w:t>Selon l’art. 14 al. 1 de la loi sur la procédure administrative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2</w:t>
      </w:r>
    </w:p>
    <w:p>
      <w:r>
        <w:t>En l’occurrence, le recourant a requis la suspension de la présente procédure dans l’attente du rapport de la CRR et l’intimé ne s’est pas opposé à une telle suspension. En conséquence, la suspension de la procédure sera prononcée dans l’attente du rapport de la CRR.</w:t>
      </w:r>
    </w:p>
    <w:p>
      <w:r>
        <w:t>A/3132/2025 - 6/6 -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