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ATAS/224/2023 vom 29. März 2023</w:t>
      </w:r>
    </w:p>
    <w:p>
      <w:r>
        <w:t>GE Cour de justice, 2023-03-29, FR</w:t>
      </w:r>
    </w:p>
    <w:p>
      <w:r>
        <w:rPr>
          <w:b/>
        </w:rPr>
        <w:t xml:space="preserve">Quelle: </w:t>
      </w:r>
      <w:r>
        <w:t>https://mcp.opencaselaw.ch/entscheid/ge_gerichte_ATAS_224_2023</w:t>
      </w:r>
    </w:p>
    <w:p>
      <w:r>
        <w:t>FR: GE_GERICHTE ATAS/224/2023 du 29 mars 2023</w:t>
      </w:r>
    </w:p>
    <w:p>
      <w:r>
        <w:t>IT: GE_GERICHTE ATAS/224/2023 del 29 marzo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t>A/3663/2020 - 6/13 -</w:t>
      </w:r>
    </w:p>
    <w:p>
      <w:r>
        <w:rPr>
          <w:b/>
        </w:rPr>
        <w:t>E. 1.2</w:t>
      </w:r>
    </w:p>
    <w:p>
      <w:r>
        <w:t>L'art. 46a aLCA, dans sa teneur jusqu’au 31 décembre 2021 applicable au présent ligite,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A8 des conditions générales d’assurances (CGA) pour l’assurance collective d’indemnités journalières en cas de maladie, Edition D 10, prévoit que le preneur d’assurance, les assurés ou les ayants droit ont le choix entre le for ordinaire, celui de leur domicile suisse ou celui de leur lieu de travail suisse. La demanderesse ayant son domicile à Genève, la chambre de céans est compétente à raison du lieu pour connaître de la présente demande.</w:t>
      </w:r>
    </w:p>
    <w:p>
      <w:r>
        <w:rPr>
          <w:b/>
        </w:rPr>
        <w:t>E. 2</w:t>
      </w:r>
    </w:p>
    <w:p>
      <w:r>
        <w:t>Le litige porte sur le droit de la demanderesse au versement des indemnités pour l’incapacité de travail de l’intéressé.</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w:t>
      </w:r>
    </w:p>
    <w:p>
      <w:r>
        <w:t>A/3663/2020 - 7/13 - 4.1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t>A/3663/2020 - 8/13 -</w:t>
      </w:r>
    </w:p>
    <w:p>
      <w:r>
        <w:rPr>
          <w:b/>
        </w:rPr>
        <w:t>E. 4</w:t>
      </w:r>
    </w:p>
    <w:p>
      <w:r>
        <w:t>En l’espèce, il convient de déterminer en premier lieu si l’intéressé a eu deux maladies distinctes avec des périodes d’incapacité de travail successives ou une seule.</w:t>
      </w:r>
    </w:p>
    <w:p>
      <w:r>
        <w:rPr>
          <w:b/>
        </w:rPr>
        <w:t>E. 4.1.1</w:t>
      </w:r>
    </w:p>
    <w:p>
      <w:r>
        <w:t>La demanderesse fait valoir en substance que la rechute du lymphome dont souffrait l’intéressé depuis 2017 est intervenue le 10 mai 2019, soit après la période de suspension des prestations de la défenderesse, et que son hospitalisation du 22 avril au 8 mai 2019 était liée à des problèmes oculaires, qui était une atteinte différente du lymphome pour lequel il a été hospitalisé à nouveau.</w:t>
      </w:r>
    </w:p>
    <w:p>
      <w:r>
        <w:rPr>
          <w:b/>
        </w:rPr>
        <w:t>E. 4.1.2</w:t>
      </w:r>
    </w:p>
    <w:p>
      <w:r>
        <w:t>La défenderesse estime que la première hospitalisation de l’intéressé était déjà due à une rechute du lymphome dont il souffrait et pour lequel il a été hospitalisé une seconde fois en mai 2019.</w:t>
      </w:r>
    </w:p>
    <w:p>
      <w:r>
        <w:rPr>
          <w:b/>
        </w:rPr>
        <w:t>E. 4.2</w:t>
      </w:r>
    </w:p>
    <w:p>
      <w:r>
        <w:t>En l’espèce, il ressort du rapport établi le 20 septembre 2022 par le Prof. C______ que si le premier diagnostic posé suite à l’hospitalisation de l’intéressé du 22 avril 2019 était une probable méningo-encéphalite d’origine virale, c’était finalement un autre diagnostic qui avait été retenu comme très probable, soit une transformation en lymphome de haut degré de malignité au niveau du système nerveux central touchant en particulier le nerf optique. Il est ainsi établi au degré de la vraisemblance prépondérante que l’intéressé a été hospitalisé dès le 22 avril 2019 en raison du lymphome dont il souffre depuis 2007. Il en résulte que le cas d’assurance est survenu pendant la période de suspension de la couverture d’assurance.</w:t>
      </w:r>
    </w:p>
    <w:p>
      <w:r>
        <w:rPr>
          <w:b/>
        </w:rPr>
        <w:t>E. 5</w:t>
      </w:r>
    </w:p>
    <w:p>
      <w:r>
        <w:t>Il convient ensuite de déterminer si la suspension de l’obligation de prester par la défenderesse était justifiée.</w:t>
      </w:r>
    </w:p>
    <w:p>
      <w:r>
        <w:rPr>
          <w:b/>
        </w:rPr>
        <w:t>E. 5.1.1</w:t>
      </w:r>
    </w:p>
    <w:p>
      <w:r>
        <w:t>La demanderesse a fait valoir qu’au début de l’année 2019, la défenderesse était débitrice de la demanderesse pour un montant total plus élevé que le montant de la prime impayée en raison d’incapacités de travail de plusieurs de ses employés, ce qui avait contribué pour elle à un manque de liquidités. Il en découlait une impossibilité de suspendre les prestations d’assurance (exceptio non adimpleti contractu).</w:t>
      </w:r>
    </w:p>
    <w:p>
      <w:r>
        <w:rPr>
          <w:b/>
        </w:rPr>
        <w:t>E. 5.1.2</w:t>
      </w:r>
    </w:p>
    <w:p>
      <w:r>
        <w:t>La défenderesse estime avoir suspendu à bon droit ses obligations d’assureur du 5 mars au 7 mai 2019, car le retard dans le paiement de la prime en cause était dû au comportement de la demanderesse et que celle-ci avait invoqué tardivement l’exceptio non adimpleti contractu.</w:t>
      </w:r>
    </w:p>
    <w:p>
      <w:r>
        <w:rPr>
          <w:b/>
        </w:rPr>
        <w:t>E. 5.2</w:t>
      </w:r>
    </w:p>
    <w:p>
      <w:r>
        <w:t>A/3663/2020 - 9/13 -</w:t>
      </w:r>
    </w:p>
    <w:p>
      <w:r>
        <w:rPr>
          <w:b/>
        </w:rPr>
        <w:t>E. 5.2.1</w:t>
      </w:r>
    </w:p>
    <w:p>
      <w:r>
        <w:t>À teneur de l’art. C1 CGA, en cas d’incapacité de travail prouvée d’au moins 50%, l’assurance verse, pour chaque jour calendaire, une indemnité journalière proportionnelle au degré d’incapacité de travail (al. 1).</w:t>
      </w:r>
    </w:p>
    <w:p>
      <w:r>
        <w:rPr>
          <w:b/>
        </w:rPr>
        <w:t>E. 5.2.2</w:t>
      </w:r>
    </w:p>
    <w:p>
      <w:r>
        <w:t>Selon l’art. 20 LCA, si la prime n’est pas payée à l’échéance ou dans le délai de grâce accordé par le contrat, le débiteur doit être sommé par écrit ou par tout autre moyen permettant d’en établir la preuve par un texte, à ses frais, d’en effectuer le paiement dans les quatorze jours à compter de l’envoi de la sommation, qui doit rappeler les conséquences de la demeure (al. 1). Si la prime est encaissée chez le débiteur, la sommation peut être effectuée oralement (al. 2). Si la sommation reste sans effet, l’obligation de l’entreprise d’assurance est suspendue à partir de l’expiration du délai légal (al. 3).</w:t>
      </w:r>
    </w:p>
    <w:p>
      <w:r>
        <w:rPr>
          <w:b/>
        </w:rPr>
        <w:t>E. 5.2.3</w:t>
      </w:r>
    </w:p>
    <w:p>
      <w:r>
        <w:t>Le paiement peut également avoir lieu par compensation de l’arriéré de prime avec une prétention du débiteur de la prime à l’encontre de l’assureur. L’exception de compensation doit néanmoins être soulevée avant l’expiration du délai de sommation. Si elle est soulevée après, elle n’a d’effet que pour le futur ; elle ne permet pas de supprimer avec effet rétroactif les effets de la suspension de la couverture d’assurance (PIGUET, op. cit., n. 50 ad. art. 20).</w:t>
      </w:r>
    </w:p>
    <w:p>
      <w:r>
        <w:rPr>
          <w:b/>
        </w:rPr>
        <w:t>E. 5.2.4</w:t>
      </w:r>
    </w:p>
    <w:p>
      <w:r>
        <w:t>La sommation doit contenir l’invitation au débiteur de la prime de satisfaire à son obligation. Elle doit également indiquer le montant dont l’assureur exige le paiement à titre de prime arriérée, ainsi que le montant des frais de sommation. Elle doit préciser que le paiement doit être effectué dans les quatorze jours à partir de l’envoi de la sommation. Celle-ci doit préciser que le paiement doit être les quatorze jours à partir de l’envoi de la sommation. Elle doit rappeler au débiteur de la prime, de manière explicite, claire et complète, toutes les conséquences que la demeure peut entraîner, soit, d’une part, la suspension de la couverture d’assurance à partir de l’expiration du délai légal en application de l’art. 20 al. 3 LCA, et, d’autre part, le droit de l’assureur de résilier le contrat, respectivement la fiction de effectué dans résiliation au sens de l’art. 21 al. 1 LCA. Le délai de sommation ne commence pas à courir avec la notification de la sommation, mais avec l’envoi de celle-ci (Jacques Olivier PIGUET, Commentaire romand, LCA, n. 27, 28, 30 et 41 ad. art. 20). Si la prime en souffrance n’est pas versée dans le délai de sommation, la couverture d’assurance est suspendue. Si un sinistre se produit pendant la période de suspension, l’assureur n’est plus tenu de verser sa prestation. Cela étant, le contrat d’assurance n’en demeure pas moins en vigueur et le débiteur tenu de payer la prime. La suspension n’est pas limitée à la période afférente à la prime en souffrance ; elle produit ses effets au-delà de l’échéance de la prime pour les périodes d’assurance subséquentes. L’échéance d’une nouvelle prime ne met pas un terme à la suspension de la couverture; celle-ci se poursuit aussi longtemps que le débiteur de la prime est en demeure. Comme l’a souligné le Tribunal fédéral, admettre le contraire reviendrait à priver la sommation de beaucoup de son efficacité : l’assuré négligent n’aurait, en effet, aucun intérêt à mettre un terme à</w:t>
      </w:r>
    </w:p>
    <w:p>
      <w:r>
        <w:t>A/3663/2020 - 10/13 - la suspension de la couverture une fois terminée la période d’assurance pour laquelle il est en demeure et au cours de laquelle aucun sinistre ne s’est produit. Le fait que l’assureur a accepté le paiement d’une prime subséquente ne signifie pas qu’il a renoncé à la suspension de la couverture d’assurance. Conformément à l’art. 91 CO, l’assureur est tenu d’accepter le paiement régulier de la prime nouvelle, à moins qu’il n’entende se départir du contrat, ce à quoi il ne saurait être obligé. Un tel paiement ne libère que partiellement le débiteur, soit pour la prime afférente à la période d’assurance subséquente. La demeure subsiste pour le solde, avec tous les effets que la loi lui attache. Conformément à l’art. 104 CO, la demeure du débiteur de la prime a également pour effet de faire courir un intérêt moratoire, lequel est dû dès l’expiration du délai de sommation (PIGUET, op. cit., n. 44 et 45 ad art. 20).</w:t>
      </w:r>
    </w:p>
    <w:p>
      <w:r>
        <w:rPr>
          <w:b/>
        </w:rPr>
        <w:t>E. 5.2.5</w:t>
      </w:r>
    </w:p>
    <w:p>
      <w:r>
        <w:t>La demeure ne déploie pas ses effets lorsque le débiteur de la prime s’est retrouvé sans faute de sa part dans l’impossibilité de payer (art. 45 al. 1 LCA) et s’il procède au paiement aussitôt l’empêchement disparu (art. 45 al. 3 LCA). Il serait en effet contraire aux règles de la bonne foi que l’assureur puisse se délier de ses obligations lorsque l’inobservation d’un délai n’est pas imputable au débiteur de la prime. Il incombe toutefois à ce dernier de prouver qu’aucune faute ne lui est imputable. La violation non fautive du contrat peut résulter de circonstances propres au débiteur de la prime. Tel est le cas lorsque des circonstances indépendantes de la volonté du débiteur de la prime (maladie, accident, etc.) empêchent ce dernier de veiller à ses intérêts ou d’en confier la défense à une tierce personne. En revanche, l’insolvabilité du débiteur ne saurait excuser le retard dans le paiement de la prime (art. 45 al. 2 LCA), tout comme, d’ailleurs, une période de service militaire ou une absence momentanée du domicile (PIGUET, op. cit., n. 53 et 54 ad. art. 20).</w:t>
      </w:r>
    </w:p>
    <w:p>
      <w:r>
        <w:rPr>
          <w:b/>
        </w:rPr>
        <w:t>E. 5.2.6</w:t>
      </w:r>
    </w:p>
    <w:p>
      <w:r>
        <w:t>Le débiteur de la prime ne peut être mis en demeure de payer la prime, lorsque l’assureur n’exécute ou n’offre pas d’exécuter sa propre obligation découlant du contrat d’assurance. Aux termes de l’art. 82 CO, celui qui poursuit l’exécution d’un contrat bilatéral doit avoir exécuté ou offrir d’exécuter sa propre obligation, à moins qu’il ne soit au bénéfice d’un terme d’après les clauses ou la nature du contrat. L’art. 82 CO accorde au débiteur une exception dilatoire, que l’on appelle exception d’inexécution ou « exceptio non adimpleti contractus » qui lui permet de retenir la prestation réclamée jusqu’à l’exécution ou l’offre d’exécution de la contre-prestation. Une fois que cette exception a été invoquée par le débiteur, il appartient au créancier de prouver qu’il a exécuté ou offert d’exécuter sa propre prestation (PIGUET, op. cit., 59 ad. art. 20). L’art. 82 CO régit l’exécution des obligations réciproques dues en vertu d’un contrat bilatéral parfait. Celles-ci doivent être exécutées simultanément. Leurs obligations s’inscrivent dans un rapport d’échange. Le débiteur de la prime ne peut être mis en demeure de payer la prime lorsque l’assureur n’exécute ou n’offre pas d’exécuter sa propre obligation découlant du contrat d’assurance. Aux</w:t>
      </w:r>
    </w:p>
    <w:p>
      <w:r>
        <w:t>A/3663/2020 - 11/13 - termes de l’art. 82 CO, celui qui poursuit l’exécution d’un contrat bilatéral doit avoir exécuté ou offrir d’exécuter sa propre obligation, à moins qu’il ne soit au bénéfice d’un terme d’après les clauses ou la nature du contrat. Cette exception est sans portée si les prestations réciproques sont de même nature, car dans ce cas en effet elles s’éteignent par compensation (Fabienne HOHL, Commentaire romand CO, n. 1 et 6 ad art. 82).</w:t>
      </w:r>
    </w:p>
    <w:p>
      <w:r>
        <w:rPr>
          <w:b/>
        </w:rPr>
        <w:t>E. 5.3</w:t>
      </w:r>
    </w:p>
    <w:p>
      <w:r>
        <w:t>En l’espèce, la sommation adressée le 19 février 2019 par la défenderesse à la demanderesse la priait de payer l’arriéré de prime, dont le montant était spécifié, de même que le montant des frais de sommation. Elle précisait que le paiement devait être effectué dans le délai de sommation de quatorze jours. Elle informait la demanderesse des conséquences d’un paiement tardif, en particulier du fait que sa couverture d’assurance serait suspendue, en ce sens qu’aucune prestation ne lui serait versée pour tout sinistre après ce délai. Le délai de sommation a commencé à courir avec l’envoi de la sommation, soit dès le 19 février 2019. La couverture d’assurance a repris dès le 7 mai 2019, date de paiement de la prime échue par la demanderesse. La sommation adressée par la défenderesse à la demanderesse répond ainsi aux exigences légales. Le fait que la défenderesse était elle-même débitrice de la demanderesse pour des montants supérieurs aux primes impayées en lien avec des incapacités de travail d’autres employés de la demanderesse ne permet pas de considérer que la suspension des prestations a été ordonnée à tort, dès lors que l’exception de compensation n’a pas été soulevé avant l’expiration du délai de sommation. Une telle exception ne permet pas de supprimer avec effet rétroactif les effets de la suspension de la couverture d’assurance. Le fait que la défenderesse était débitrice de la demanderesse ne peut pas non plus justifier le non-paiement de la prime en cause, au sens de l’art. 45 al. 1 LCA, car selon l’art. 45 al. 2 LCA, l’insolvabilité du débiteur ne peut excuser le retard dans le paiement de la prime. S’agissant de l’exceptio non adimpleti contractu de l’art. 82 CO, elle ne peut être invoquée par la demanderesse, car elle est sans portée en l’espèce, les prestations réciproques en cause étant de même nature, de sorte qu’elles pouvaient s’éteindre par compensation. Le fait que le lymphome a été diagnostiqué en 2007 n’est pas déterminant, car la suspension porte sur les obligations en cours de la défenderesse, soit en l’occurrence l’incapacité de travail dès le 22 avril 2019.</w:t>
      </w:r>
    </w:p>
    <w:p>
      <w:r>
        <w:rPr>
          <w:b/>
        </w:rPr>
        <w:t>E. 6</w:t>
      </w:r>
    </w:p>
    <w:p>
      <w:r>
        <w:t>Les faits nécessaires au jugement de la cause sont suffisamment établis, de sorte qu’il n’y a pas lieu de donner suite aux autres mesures d’instruction requises par les parties.</w:t>
      </w:r>
    </w:p>
    <w:p>
      <w:r>
        <w:rPr>
          <w:b/>
        </w:rPr>
        <w:t>E. 7</w:t>
      </w:r>
    </w:p>
    <w:p>
      <w:r>
        <w:t>Au vu des considérations qui précèdent, la demande doit être rejetée.</w:t>
      </w:r>
    </w:p>
    <w:p>
      <w:r>
        <w:t>A/3663/2020 - 12/13 - Il n'est pas alloué de dépens à la charge de la demanderesse (art. 22 al. 3 let. b de la loi d'application du code civil suisse et d’autres lois fédérales en matière civile du 11 octobre 2012 [LaCC - E 1 05];) ni perçu de frais judiciaires (art. 114 let. e CPC).</w:t>
      </w:r>
    </w:p>
    <w:p>
      <w:r>
        <w:t>A/3663/2020 - 13/13 -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