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ATAS/224/2022 vom 9. März 2022</w:t>
      </w:r>
    </w:p>
    <w:p>
      <w:r>
        <w:t>GE Cour de justice, 2022-03-09, FR</w:t>
      </w:r>
    </w:p>
    <w:p>
      <w:r>
        <w:rPr>
          <w:b/>
        </w:rPr>
        <w:t xml:space="preserve">Quelle: </w:t>
      </w:r>
      <w:r>
        <w:t>https://mcp.opencaselaw.ch/entscheid/ge_gerichte_ATAS_224_2022</w:t>
      </w:r>
    </w:p>
    <w:p>
      <w:r>
        <w:t>FR: GE_GERICHTE ATAS/224/2022 du 9 mars 2022</w:t>
      </w:r>
    </w:p>
    <w:p>
      <w:r>
        <w:t>IT: GE_GERICHTE ATAS/224/2022 del 9 marzo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A/690/2021 - 5/11 -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Le recours ayant été interjeté devant la chambre de céans après le 1er janvier 2021, la LPGA modifiée est applicable (cf. art. 82a LPGA ; RO 2020 5137 ; FF 2018 1597 ; erratum de la CdR de l’Ass. féd. du 19 mai 2021, publié le 18 juin 2021 in RO 2021 358).</w:t>
      </w:r>
    </w:p>
    <w:p>
      <w:r>
        <w:rPr>
          <w:b/>
        </w:rPr>
        <w:t>E. 4</w:t>
      </w:r>
    </w:p>
    <w:p>
      <w:r>
        <w:t>Le délai de recours est de trente jours (art. 56 et 60 al. 1 LPGA; art. 62 al. 1 de la de loi sur la procédure administrative du 12 septembre 1985 [LPA - E 5 10]). Interjeté dans la forme et le délai prévus par la loi, le recours est recevable.</w:t>
      </w:r>
    </w:p>
    <w:p>
      <w:r>
        <w:rPr>
          <w:b/>
        </w:rPr>
        <w:t>E. 5</w:t>
      </w:r>
    </w:p>
    <w:p>
      <w:r>
        <w:t>Le litige porte sur le point de savoir si l’assurée a droit aux prestations d’assurance au-delà du 6 novembre 2020 pour les suites de l’accident du 17 octobre 2019.</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w:t>
      </w:r>
    </w:p>
    <w:p>
      <w:r>
        <w:t>A/690/2021 - 6/11 -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7</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S’agissant de l’aggravation d’un état antérieur dégénératif au niveau de la colonne vertébrale, le statu quo sine est dans la règle atteint après 6 ou 9 mois, mais au</w:t>
      </w:r>
    </w:p>
    <w:p>
      <w:r>
        <w:t>A/690/2021 - 7/11 - plus tard après un an (arrêt du Tribunal fédéral 8C_508/2008 du 22 octobre 2008 consid.4.2). On ajoutera que,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U 48/07 du 6 novembre 2007, consid. 3 et U 172/06 du 10 mai 2007, consid. 6.2).</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w:t>
      </w:r>
    </w:p>
    <w:p>
      <w:r>
        <w:t>A/690/2021 - 8/11 -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9</w:t>
      </w:r>
    </w:p>
    <w:p>
      <w:r>
        <w:t>En l’espèce, suite à la chute du 17 octobre 2019, les radiographies du rachis lombosacré et l’IRM lombaire ont montré un traumatisme lombaire avec fracture du plateau supérieur L5 et fracture du corps de S1. Les divers examens radiologiques pratiqués ont également mis en évidence un état dégénératif antérieur, notamment un antélisthésis sur plusieurs vertèbres ainsi qu’un rétrécissement foraminal sévère. Le Dr B______ a diagnostiqué un tassement vertébral L5 sur antélisthésis. Le Dr C______, neurochirurgien, a pris connaissance des résultats des examens radiologiques et noté un antélisthésis dysplasique L5-S1 de stade II, un rétrolisthésis L4-L5, un antélisthésis L3-L4 et un tassement post-traumatique du corps de L5. Un traitement orthopédique sous forme du port d’un corset a été prescrit pour 3 mois, ainsi qu’un traitement antalgique. Le 6 février 2020, le neurochirurgien notait une évolution globalement favorable, notamment sur le plan fonctionnel, et préconisé un retrait progressif du corset sur 4 à 6 semaines. Dans son rapport du 11 août 2020 suite au séjour de la recourante, la H______ indiquait que la patiente avait suivi un programme de rééducation intensive. Les diagnostics retenus étaient des lombalgies chroniques, une fracture-tassement du plateau supérieur de L5 et fracture du corps de S1, antélisthésis de L5 sur S1 de grade I-II sur lyse isthmique bilatérale. La situation n’était pas stabilisée du point de vue médical et des aptitudes fonctionnelles, mais la poursuite d’un traitement de physiothérapie pouvait permettre de diminuer les douleurs lobaires et d’améliorer les aptitudes fonctionnelles. Une stabilisation médicale était attendue dans un délai de 3 mois. Sur la base des constatations médicales, le médecin d’arrondissement a expliqué dans son appréciation médicale du 4 novembre 2020 que suite à la chute sur les fesses, la recourante a subi une impaction de la région lombosacrée sur une malformation majeure de type spondylolisthésis de grade II de Meyerding avec pente sacrée avoisinant les 80 degrés, sur lyse isthmique évoluée connue ou</w:t>
      </w:r>
    </w:p>
    <w:p>
      <w:r>
        <w:t>A/690/2021 - 9/11 - méconnue. C’est une malformation d’origine congénitale qui évolue lentement vers une péjoration, comme toujours dans ces cas, par la dégénérescence, la fermeture des foramens, la disparition complète du disque et l’apparition semi- permanente ou permanente de sciatiques. La minime fracture/tassement de la vertèbre s’est consolidée en quelques mois, de même que l’impaction, voire la possible fracture de l’ostéophyte évolue aussi généralement en quelques mois. L’événement a entraîné probablement la petite fracture/tassement, mais pas l’ensemble des atteintes dégénératives et congénitales qui ont été, sur le plan algique, mais pas anatomique, transitoirement péjorées ou révélées, par rapport à l’état antérieur. Compte tenu de la consolidation effective de la petite fracture et du temps écoulé de plus d’un an, le Dr D______ a estimé que l’événement pris en charge initialement a cessé ses effets en vraisemblance prépondérante.</w:t>
      </w:r>
    </w:p>
    <w:p>
      <w:r>
        <w:rPr>
          <w:b/>
        </w:rPr>
        <w:t>E. 10</w:t>
      </w:r>
    </w:p>
    <w:p>
      <w:r>
        <w:t>La recourante conteste la décision de l’intimée, alléguant qu’un autre accident subi en juillet 2019, à savoir une chute sur le coccyx lors de ses vacances en Corse, non déclaré par l’employeur, n’a pas été pris en compte par l’intimée. Cet argument tombe à faux. En effet, l’intimée a évoqué ce fait dans la décision querellée. Il convient par ailleurs de relever, comme le souligne l’intimée, que les suites de cet événement se sont limitées à une seule consultation chez un ostéopathe en France et que, contrairement à ce que soutient la recourante, le fait était connu du médecin d’arrondissement. Elle conteste également l’appréciation du Dr D______, au motif que compte tenu du fait que les anomalies de la colonne lombaire étaient asymptomatiques avant les accidents, que ces dernières sont devenues symptomatiques et que les douleurs persistent, il n’est pas possible d’affirmer, avec une certitude médico-pratique et une certitude scientifique au degré de vraisemblance prépondérante que les douleurs lombaires actuelles n’ont plus de relation de causalité avec les événements accidentels des 27 juillet 2019 et 17 octobre 2019. La chambre de céans relève qu’en soulignant l'absence de douleurs antérieurement à l'accident survenu le 17 octobre 2003, voire celui aussi du 27 juillet de la même année, l'assurée tient en réalité un raisonnement fondé sur le principe «post hoc ergo propter hoc», lequel est impropre à établir un rapport de cause à effet entre un accident assuré et une atteinte à la santé (ATF 119 V 335 consid. 2b/bb p. 341). La recourante se réfère à l’extrait du rapport de consultation du Dr C______ du 9 août 2021 selon lequel on ne peut pas écarter non plus des lombalgies séquellaires du traumatisme. Il convient toutefois de constater que le Dr C______ a indiqué que le bilan effectué à l’occasion du traumatisme avait mis en évidence un spondylolisthésis dysplasique L5-S1, un rétrolisthésis L4-L5 et un antélisthésis L3-L4, qui sont des signes radiologiques d’instabilité, semblant préexistants au traumatisme, et pouvant expliquer des lombalgies persistantes. Le médecin, qui a également souligné que la fracture de L5 avait consolidé sous traitement</w:t>
      </w:r>
    </w:p>
    <w:p>
      <w:r>
        <w:t>A/690/2021 - 10/11 - orthopédique, ne s’est cependant pas déterminé sur le critère - essentiel - de la vraisemblance prépondérante. Le rapport du Dr C______ n’est pas de nature à remettre en cause les conclusions du Dr D______, qui s’est prononcé clairement et de manière circonstanciée sur le degré de vraisemblance prépondérante, sur la base du dossier radiologique et des constatations médicales. Il a motivé son appréciation, en soulignant la sévérité de la pathologie dégénérative et constitutionnelle qui va évoluer pour son propre compte et est, au degré de vraisemblance prépondérante, responsable des troubles que présente ou présentera l’assurée. La chambre de céans n’a pas de motif de s’écarter de l’analyse et des conclusions convaincantes du Dr D______. Au vu de ce qui précède, la décision de l’intimée ne prête pas le flanc à la critique.</w:t>
      </w:r>
    </w:p>
    <w:p>
      <w:r>
        <w:rPr>
          <w:b/>
        </w:rPr>
        <w:t>E. 11</w:t>
      </w:r>
    </w:p>
    <w:p>
      <w:r>
        <w:t>Mal fondé, le recours est rejeté.</w:t>
      </w:r>
    </w:p>
    <w:p>
      <w:r>
        <w:rPr>
          <w:b/>
        </w:rPr>
        <w:t>E. 12</w:t>
      </w:r>
    </w:p>
    <w:p>
      <w:r>
        <w:t>Selon l’art. 61 LPGA sous réserve de l’art 1 al. 3 de la loi fédérale du 20 décembre 1968 sur la procédure administrative (PA), la procédure devant le tribunal cantonal des assurances est réglée par le droit cantonal. Pour les litiges en matière de prestations, la procédure est soumise à des frais judiciaires si la loi spéciale le prévoit; si la loi spéciale ne prévoit pas de frais judiciaires pour de tels litiges, le tribunal peut en mettre à la charge de la partie qui agit de manière téméraire ou fait preuve de légèreté. (cf. art. 61 let. fbis LPGA, en sa teneur en vigueur depuis le 1er janvier 2021). La LAA ne prévoyant pas de frais pour la procédure de recours en matière de prestations d’assurance, la procédure est gratuite.</w:t>
      </w:r>
    </w:p>
    <w:p>
      <w:r>
        <w:t>* * * * *</w:t>
      </w:r>
    </w:p>
    <w:p>
      <w:r>
        <w:t>A/690/2021 - 11/11 -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