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ATAS/224/2020 vom 16. März 2020</w:t>
      </w:r>
    </w:p>
    <w:p>
      <w:r>
        <w:t>GE Cour de justice, 2020-03-16, FR</w:t>
      </w:r>
    </w:p>
    <w:p>
      <w:r>
        <w:rPr>
          <w:b/>
        </w:rPr>
        <w:t xml:space="preserve">Quelle: </w:t>
      </w:r>
      <w:r>
        <w:t>https://mcp.opencaselaw.ch/entscheid/ge_gerichte_ATAS_224_2020</w:t>
      </w:r>
    </w:p>
    <w:p>
      <w:r>
        <w:t>FR: GE_GERICHTE ATAS/224/2020 du 16 mars 2020</w:t>
      </w:r>
    </w:p>
    <w:p>
      <w:r>
        <w:t>IT: GE_GERICHTE ATAS/224/2020 del 16 marzo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A teneur de l'art. 89I al. 2 et 3 de la loi sur la procédure administrative, du 12 septembre 1985 (LPA - E 5 10), l'art. 61 let i LPGA est applicable pour les causes visées à l'art. 134 al. 1 LOJ. Selon l’art. 61 let. i LPGA, les jugements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Selon l'art. 81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Lorsque le tribunal estime que le motif de révision est établi, il doit annuler totalement ou partiellement l'arrêt rendu et statuer à nouveau au fond (BOVAY, Procédure administrative, éd. Staempfli, p. 441).</w:t>
      </w:r>
    </w:p>
    <w:p>
      <w:r>
        <w:rPr>
          <w:b/>
        </w:rPr>
        <w:t>E. 3</w:t>
      </w:r>
    </w:p>
    <w:p>
      <w:r>
        <w:t>S’agissant des motifs de révision,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p. 358 et les références ; arrêt du Tribunal fédéral du 24 février 2010 - 8C_934/2009).</w:t>
      </w:r>
    </w:p>
    <w:p>
      <w:r>
        <w:t>A/2412/2019 - 5/6 -</w:t>
      </w:r>
    </w:p>
    <w:p>
      <w:r>
        <w:rPr>
          <w:b/>
        </w:rPr>
        <w:t>E. 4</w:t>
      </w:r>
    </w:p>
    <w:p>
      <w:r>
        <w:t>Dans le cas d'espèce, le recourant a déposé le 24 février 2020 une demande de révision de l’ATAS/118/2020 du 17 février 2020. La demande de révision a dès lors été déposée dans le délai légal est doit être déclarée recevable. Le recourant a pu démontrer, pièces à l’appui, qu’il a déposé son complément de recours dans le délai qui lui avait été imparti par la chambre de céans. En effet, il ressort des pièces jointes à son écriture que l’envoi a été déposé le 4 septembre 2019 à 21h23 dans un automate MyPost 24, par le biais d’un envoi recommandé « prepaid ». Il n’avait pas eu la possibilité de faire valoir cet élément de preuve dans le cadre de la procédure, n’ayant pas été interpellé à ce sujet. En effet, la chambre de céans s’est fondée sur le timbre postal figurant sur l’enveloppe contenant son complément de recours, daté du 6 septembre 2019, pour retenir que celui-ci avait été déposé tardivement. Au vu de ce qui précède, il convient de réviser l’arrêt de la chambre de céans du 17 février 2020, de déclarer le recours recevable, et de réserver la suite de la procédure au fond. Pour le surplus, la procédure est gratuite.</w:t>
      </w:r>
    </w:p>
    <w:p>
      <w:r>
        <w:t>A/2412/2019 - 6/6 -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