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ATAS/224/2017 vom 16. März 2017</w:t>
      </w:r>
    </w:p>
    <w:p>
      <w:r>
        <w:t>GE Cour de justice, 2017-03-16, FR</w:t>
      </w:r>
    </w:p>
    <w:p>
      <w:r>
        <w:rPr>
          <w:b/>
        </w:rPr>
        <w:t xml:space="preserve">Quelle: </w:t>
      </w:r>
      <w:r>
        <w:t>https://mcp.opencaselaw.ch/entscheid/ge_gerichte_ATAS_224_2017</w:t>
      </w:r>
    </w:p>
    <w:p>
      <w:r>
        <w:t>FR: GE_GERICHTE ATAS/224/2017 du 16 mars 2017</w:t>
      </w:r>
    </w:p>
    <w:p>
      <w:r>
        <w:t>IT: GE_GERICHTE ATAS/224/2017 del 16 marzo 2017</w:t>
      </w:r>
    </w:p>
    <w:p>
      <w:pPr>
        <w:pStyle w:val="Heading2"/>
      </w:pPr>
      <w:r>
        <w:t>Erwägungen</w:t>
      </w:r>
    </w:p>
    <w:p>
      <w:r>
        <w:rPr>
          <w:b/>
        </w:rPr>
        <w:t>E. 1</w:t>
      </w:r>
    </w:p>
    <w:p>
      <w:r>
        <w:t>Conformément à l'art. 134 al. 1 let. b de la loi sur l'organisation judiciaire, du 26 septembre 2010 (LOJ - E 2 05), la Chambre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art. 52, 56a, alinéa 1, et art. 73 de la loi fédérale sur la prévoyance professionnelle, vieillesse, survivants et invalidité du 25 juin 1982; art. 142 code civil). Sa compétence pour juger du cas d’espèce est ainsi établie.</w:t>
      </w:r>
    </w:p>
    <w:p>
      <w:r>
        <w:rPr>
          <w:b/>
        </w:rPr>
        <w:t>E. 2</w:t>
      </w:r>
    </w:p>
    <w:p>
      <w:r>
        <w:t>La loi fédérale sur la prévoyance professionnelle vieillesse, survivants et invalidité, du 25 juin 1982 (LPP - RS 831.40)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 L'art. 3 al. 1 de l'ordonnance sur les droits de l'institution supplétive en matière de prévoyance professionnelle (RS 831.434) prévoit que l'employeur doit verser à l'institution supplétive les cotisations dues pour l'ensemble des salariés soumis à la loi, avec effet dès le moment où il aurait dû être affilié à une institution de prévoyance. Le taux de l'intérêt moratoire correspond à celui qu'applique habituellement l'institution supplétive en cas de retard dans le paiement des cotisations (art. 3 al. 2 de l'ordonnance).</w:t>
      </w:r>
    </w:p>
    <w:p>
      <w:r>
        <w:rPr>
          <w:b/>
        </w:rPr>
        <w:t>E. 3</w:t>
      </w:r>
    </w:p>
    <w:p>
      <w:r>
        <w:t>Le litige porte sur la demande en condamnation au paiement des cotisations échues et la demande en mainlevée de l'opposition faite au commandement de payer.</w:t>
      </w:r>
    </w:p>
    <w:p>
      <w:r>
        <w:rPr>
          <w:b/>
        </w:rPr>
        <w:t>E. 4</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w:t>
      </w:r>
    </w:p>
    <w:p>
      <w:r>
        <w:t>A/362/2017 - 4/5 - fédérale ou d'un recours de droit administratif (op. cit. p. 1227 ;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5</w:t>
      </w:r>
    </w:p>
    <w:p>
      <w:r>
        <w:t>En l'espèce, la Chambre de céans tient pour établi qu'en sa qualité d'employeur occupant des salariés, la défenderesse devait obligatoirement être affiliée à une caisse de prévoyance professionnelle, ce qui du reste n'est pas contesté. Il ressort de l'ensemble des pièces produites par la demanderesse que la défenderesse est demeurée débitrice d'un montant de CHF 37'390.75, correspondant aux cotisations des employés dues à la défenderesse jusqu’au 31 mars 2016. En outre, la simple passivité de la débitrice, celle-ci n'ayant réagi ni aux sommations de la fondation, ni à celles de la Cour de céans, ne saurait empêcher la fondation d'engager et de continuer des procédures de recouvrement afin d'obtenir la reconnaissance de ses droits (ATA J. du 5 septembre 1995). En ce qui concerne les frais de poursuite, ils sont d'office supportés par le débiteur lorsque la poursuite aboutit (JdT 1974 III 32). Les intérêts et frais dus par la défenderesse sont par ailleurs prévus par le règlement d’affiliation. Pour tous ces motifs, il y a lieu d'admettre la demande et de prononcer la mainlevée définitive de l'opposition au commandement de payer.</w:t>
      </w:r>
    </w:p>
    <w:p>
      <w:r>
        <w:rPr>
          <w:b/>
        </w:rPr>
        <w:t>E. 6</w:t>
      </w:r>
    </w:p>
    <w:p>
      <w:r>
        <w:t>En ce qui concerne les frais et dépens de la cause, l'art. 73 al. 2 LPP précise que les cantons doivent prévoir une procédure simple, rapide et, en principe, gratuite. L'art. 89H al. 1 de la loi sur la procédure administrative du 12 septembre 1985 (LPA - E 5 10) prévoit quant à lui que la procédure est gratuite pour les parties.</w:t>
      </w:r>
    </w:p>
    <w:p>
      <w:r>
        <w:t>A/362/2017 - 5/5 -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