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ATAS/224/2016 vom 21. März 2016</w:t>
      </w:r>
    </w:p>
    <w:p>
      <w:r>
        <w:t>GE Cour de justice, 2016-03-21, FR</w:t>
      </w:r>
    </w:p>
    <w:p>
      <w:r>
        <w:rPr>
          <w:b/>
        </w:rPr>
        <w:t xml:space="preserve">Quelle: </w:t>
      </w:r>
      <w:r>
        <w:t>https://mcp.opencaselaw.ch/entscheid/ge_gerichte_ATAS_224_2016</w:t>
      </w:r>
    </w:p>
    <w:p>
      <w:r>
        <w:t>FR: GE_GERICHTE ATAS/224/2016 du 21 mars 2016</w:t>
      </w:r>
    </w:p>
    <w:p>
      <w:r>
        <w:t>IT: GE_GERICHTE ATAS/224/2016 del 21 marzo 2016</w:t>
      </w:r>
    </w:p>
    <w:p>
      <w:pPr>
        <w:pStyle w:val="Heading2"/>
      </w:pPr>
      <w:r>
        <w:t>Erwägungen</w:t>
      </w:r>
    </w:p>
    <w:p>
      <w:r>
        <w:rPr>
          <w:b/>
        </w:rPr>
        <w:t>E. 1</w:t>
      </w:r>
    </w:p>
    <w:p>
      <w:r>
        <w:t>Conformément à l'art. 134 al. 1 let. a ch. 2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rPr>
          <w:b/>
        </w:rPr>
        <w:t>E. 2</w:t>
      </w:r>
    </w:p>
    <w:p>
      <w:r>
        <w:t>La loi sur la partie générale des assurances sociales (LPGA), entrée en vigueur le 1er janvier 2003, est applicable au cas d’espèce.</w:t>
      </w:r>
    </w:p>
    <w:p>
      <w:r>
        <w:rPr>
          <w:b/>
        </w:rPr>
        <w:t>E. 3</w:t>
      </w:r>
    </w:p>
    <w:p>
      <w:r>
        <w:t>Interjeté dans les formes et délai prescrits par la loi, le présent recours est recevable (art. 56 à 61 LPGA).</w:t>
      </w:r>
    </w:p>
    <w:p>
      <w:r>
        <w:rPr>
          <w:b/>
        </w:rPr>
        <w:t>E. 4</w:t>
      </w:r>
    </w:p>
    <w:p>
      <w:r>
        <w:t>Le litige porte sur le droit de la recourante à une rente-invalidité.</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w:t>
      </w:r>
    </w:p>
    <w:p>
      <w:r>
        <w:t>A/3393/2013 - 11/20 -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c.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w:t>
      </w:r>
    </w:p>
    <w:p>
      <w:r>
        <w:t>A/3393/2013 - 12/20 -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w:t>
      </w:r>
    </w:p>
    <w:p>
      <w:r>
        <w:t>A/3393/2013 - 13/20 -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w:t>
      </w:r>
    </w:p>
    <w:p>
      <w:r>
        <w:t>A/3393/2013 - 14/20 -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a. En l'espèce, la première question à trancher est celle de la valeur probante de l'expertise judiciaire. Il y a lieu de constater que cette dernière se fonde sur un dossier complet, une anamnèse détaillée, des constatations objectives des experts et que ses conclusions sont motivées. b. L'intimé conteste la valeur probante de l'expertise, du fait que l'expert psychiatre relatait des scores d'auto-évaluation différents à chaque entretien et faisait état des loisirs et occupations de l'assurée, ce qui ne constituait pas, selon lui, un examen clinique en bonne et due forme. c. S'agissant des conclusions psychiatriques de l'expertise, elles se fondent, notamment, sur une anamnèse psychosociale et psychiatrique et les constats de l'expert psychiatre, qui a reçu à deux reprises l'expertisée. Il a lui-même constaté que lors du premier rendez-vous, l'assurée se sentait bien, ce qui n'était pas le cas lors du second, ce qui explique les scores différents d'auto-évaluation de la douleur. L'état variable de l'assurée est, en outre, confirmé par les conclusions de l'expertise sur le plan rhumatologique, qui indiquent qu'elle souffre d'un rhumatisme palindromique avec des poussées mensuelles, soit des crises douloureuses. d. L'intimé estime encore que les experts ne pouvaient se baser, comme ils l'ont fait, sur le rapport des EPI du 29 avril 2013 pour fonder des conclusions médicales, dès lors que l'assurée avait souhaité interrompre cette mesure, qu'elle jugeait inutile. e. Il y a lieu de relever à cet égard que le rapport des EPI atteste de crises douloureuses intervenant de manière inopinée et aléatoire, sans émettre de doutes à ce sujet. Ce n'est pas parce que l'assurée a souhaité elle-même interrompre la mesure que les constatations faites lors de cette dernière sont sans pertinence, ce d'autant plus qu'elles validaient les constatations des experts. L'on ne saurait ainsi reprocher aux experts d'en avoir tenu compte dans leur appréciation du cas. f. Quant aux références de l'expert psychiatre aux loisirs et occupations de l'assurée, elles sont explicitées sous le chiffre 8 du rapport d'expertise, relatif à la capacité de travail, où il est relevé que, même dans les activités légères et exercées à temps très partiel avec peu ou pas de contrainte, soit les activités de bénévolat de l'assurée pour lesquelles elle était extrêmement motivée, ne pouvaient être maintenues sans interruptions répétées. Ces indications ont un intérêt évident dans l'appréciation de la capacité de travail de l'assurée, car le fait que cette dernière soit également limitée dans les activités qui la motivent grandement accrédite la réalité de ses limitations. On notera à cet égard qu'il appartient à tout expert d'intégrer dans le cadre de sa réflexion les facteurs motivationnels à l'œuvre chez l'expertisé (cf. Lignes directrices de la Société suisse de psychiatrie d'assurance pour</w:t>
      </w:r>
    </w:p>
    <w:p>
      <w:r>
        <w:t>A/3393/2013 - 15/20 - l'expertise médicale des troubles psychiques, in Bulletin des médecins suisses 2004/85 p. 1907). L'expertise apparaît ainsi complète et objective. Elle n'a ainsi pas été établie de manière non conforme aux lignes directrices de qualité des expertises psychiatriques dans le domaine de l'assurance-invalidité de la Société suisse de psychiatrie et de psychothérapie citées par l'intimé. g. La recourante estime quant à elle que l'expertise doit être précisée, car elle retient une capacité de travail d'un point de vue psychologique limitée à 20 %, tout en mentionnant qu'il n'y a pas de limitations fonctionnelles du point de vue psychiatrique. h. L'expertise contient effectivement une apparente contradiction sur ce point, qu'il y a lieu d'examiner en tenant compte de la motivation complète de l'expert à ce sujet. Il a indiqué que les troubles mentaux et du comportement liés à l'utilisation d'opiacés et de cannabis de l'assurée n'avaient pas de répercussion sur sa capacité de travail, en relevant que le trouble borderline "pouvait" avoir une influence sur sa capacité travail de par l'irritabilité plus fréquente et que les douleurs ont un retentissement psychique "pouvant" altérer la capacité de travail, mais qu'il était difficile d'en définir les conséquences exactes. La difficulté de pouvoir se prononcer était essentiellement due à la fluctuation des différents états. L'expert a ainsi clairement exprimé ses doutes quant à la capacité de travail du point de vue psychiatrique, qui s'expliquent par les variations dans l'état de l'expertisée et l'imbrication entre les causes rhumatologiques et psychiatriques de l'incapacité de travail, de sorte que ces doutes ne remettent pas en cause la valeur probante de l'expertise dans son ensemble. Il y a en revanche lieu d'en tenir compte, en ne retenant pas les conclusions de l'expertise s'agissant de la capacité de travail de l'assurée, en lien avec les diagnostics d'ordre psychiatrique, ce qui est sans incidence concrète, puisque, sur le plan rhumatologique, l'expert a évalué la capacité de travail de l'assurée à 20 % dans une activité adaptée, et ce, de manière claire et non contestée. i. Il sera ainsi retenu, sur la base des conclusions de l'expertise judiciaire, que la capacité de travail de la recourante est de 20 % dans un poste adapté depuis le 8 août 2011.</w:t>
      </w:r>
    </w:p>
    <w:p>
      <w:r>
        <w:rPr>
          <w:b/>
        </w:rPr>
        <w:t>E. 10</w:t>
      </w:r>
    </w:p>
    <w:p>
      <w:r>
        <w:t>Reste à déterminer le degré d'invalidité de l'assurée.</w:t>
      </w:r>
    </w:p>
    <w:p>
      <w:r>
        <w:rPr>
          <w:b/>
        </w:rPr>
        <w:t>E. 11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w:t>
      </w:r>
    </w:p>
    <w:p>
      <w:r>
        <w:t>A/3393/2013 - 16/20 -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l'intimée,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w:t>
      </w:r>
    </w:p>
    <w:p>
      <w:r>
        <w:rPr>
          <w:b/>
        </w:rPr>
        <w:t>E. 12</w:t>
      </w:r>
    </w:p>
    <w:p>
      <w:r>
        <w:t>En l'espèce, il y a lieu de retenir un statut d'actif de l'assurée, dès lors qu'elle a indiqué à l'OAI que, sans atteinte à la santé, elle travaillerait à plein temps, ce que confirme le fait qu'elle s'est inscrite à l'OCE en 2000 pour un emploi à 100 %.</w:t>
      </w:r>
    </w:p>
    <w:p>
      <w:r>
        <w:rPr>
          <w:b/>
        </w:rPr>
        <w:t>E. 13</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En vertu des art. 28 al. 1 et 29 al. 1 LAI (dans sa teneur en vigueur depuis le 1er janvier 2008),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6 mois à compter de la date à laquelle l’assuré a fait valoir son droit aux prestations conformément à l’art. 29 al. 1 LPGA. La rente est versée dès le début du mois au cours duquel le droit prend naissance (art. 29 al. 3 LAI). c. Pour fixer le revenu sans invalidité, il faut établir ce que l'assuré aurait, au degré de la vraisemblance prépondérante, réellement pu obtenir au moment déterminant s'il n'était pas invalide (RAMA 2000 n°U 400 p. 381 consid. 2a). Ce revenu doit</w:t>
      </w:r>
    </w:p>
    <w:p>
      <w:r>
        <w:t>A/3393/2013 - 17/20 -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w:t>
      </w:r>
    </w:p>
    <w:p>
      <w:r>
        <w:t>A/3393/2013 - 18/20 -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14</w:t>
      </w:r>
    </w:p>
    <w:p>
      <w:r>
        <w:t>a. En l'espèce, en application des art. 28 al. 1 et 29 al. 1 LAI, le moment déterminant pour procéder à la comparaison des revenus est le 8 août 2012, soit un an après le début de l'incapacité de travail, date qui est postérieure de plus de 6 mois à la demande de rente, qui a été formée le 17 novembre 2011. b. L'OAI a pris en compte, pour déterminer le revenu sans invalidité, un revenu statistique sur la base de l'ESS 2010, TA1, tous secteurs confondus, activité de niveau 4 pour une femme (activités simples et répétitives), sans qualification requise, soit CHF 4'225.-, ce qui correspond, adapté à la moyenne usuelle de l'horaire de travail dans les entreprises et indexé à 2012, à un revenu annuel de CHF 53'771.-. c. Dans la mesure où l'assurée était concrètement engagée par G______ Sàrl, au moment de la survenance de l'incapacité de travail durable, l'on pourrait se demander s'il ne conviendrait pas de se fonder plutôt sur les conditions salariales concrètes offertes par cette société, quand bien même l'assurée a résilié son contrat de travail pendant le temps d'essai. Dans cette hypothèse, en tenant compte d'un salaire horaire de CHF 28.- l'heure, l'on arrive, sur la base de 42 heures par semaine correspondant à l'horaire de travail normal dans cette entreprise, à un salaire annuel en 2012, de CHF 61'715.-. d. S'agissant du revenu avec invalidité, l'OAI a pris en compte, à juste titre, un salaire statistique sur la base de l'ESS 2010, TA1, activité de niveau 4 (activités simples et répétitives pour une femme exerçant dans le domaine des services),</w:t>
      </w:r>
    </w:p>
    <w:p>
      <w:r>
        <w:t>A/3393/2013 - 19/20 - correspondant à la ligne 45-96, soit CHF 4'206.-. En effet, au regard du large éventail d'activités simples et répétitives que recouvrent les secteurs de services, on doit en effet convenir qu'un certain nombre d’entre elles sont légères et adaptées aux handicaps de la recourante. Adapté à la moyenne usuelle de l'horaire de travail dans les entreprises et indexé, le salaire annuel en 2012 à retenir est de CHF 53'529.-. En tenant compte d'une capacité de travail de 20 % et d'un abattement supplémentaire de 10 % pour tenir compte des limites fonctionnelles de la recourante, le revenu avec invalidité à prendre en compte pour 2012 est de CHF 9'635.-. e. En procédant à la comparaison du revenu sans invalidité établi sur une base statistique et du revenu avec invalidité, le taux d'invalidité est de 82 % ([53'771 - 9'635] x 100 / 53'771). En procédant à la comparaison du revenu établi sur la base des prestations de G______ Sàrl et du revenu avec invalidité, le taux d'invalidité est de 84 % ([61'715- 9'635] x 100 / 61'715). Il en résulte que, dans les deux cas de figure, l’assurée a droit une rente invalidité entière. f. Son droit à la rente a pris naissance le 8 août 2012 et la rente doit être payée dès le 1er août 2012.</w:t>
      </w:r>
    </w:p>
    <w:p>
      <w:r>
        <w:rPr>
          <w:b/>
        </w:rPr>
        <w:t>E. 15</w:t>
      </w:r>
    </w:p>
    <w:p>
      <w:r>
        <w:t>Au vu de ce qui précède, le recours sera admis, la décision du 23 septembre 2013 sera annulée et il sera dit que l'assurée a droit à une rente-invalidité entière dès le 1er août 2012.</w:t>
      </w:r>
    </w:p>
    <w:p>
      <w:r>
        <w:rPr>
          <w:b/>
        </w:rPr>
        <w:t>E. 16</w:t>
      </w:r>
    </w:p>
    <w:p>
      <w:r>
        <w:t>La recourante obtenant gain de cause, une indemnité de CHF 3'000.- lui sera accordée à titre de participation à ses frais et dépens (art. 61 let. g LPGA; art. 6 du règlement sur les frais, émoluments et indemnités en matière administrative du 30 juillet 1986 [RFPA - E 5 10.03]).</w:t>
      </w:r>
    </w:p>
    <w:p>
      <w:r>
        <w:rPr>
          <w:b/>
        </w:rPr>
        <w:t>E. 17</w:t>
      </w:r>
    </w:p>
    <w:p>
      <w:r>
        <w:t>Au vu du sort du recours, il y a lieu de condamner l'intimé au paiement d'un émolument de CHF 500.- (art. 69 al. 1bis LAI).</w:t>
      </w:r>
    </w:p>
    <w:p>
      <w:r>
        <w:t>A/3393/2013 - 20/20 -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