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ATAS/224/2010 vom 9. März 2010</w:t>
      </w:r>
    </w:p>
    <w:p>
      <w:r>
        <w:t>GE Cour de justice, 2010-03-09, FR</w:t>
      </w:r>
    </w:p>
    <w:p>
      <w:r>
        <w:rPr>
          <w:b/>
        </w:rPr>
        <w:t xml:space="preserve">Quelle: </w:t>
      </w:r>
      <w:r>
        <w:t>https://mcp.opencaselaw.ch/entscheid/ge_gerichte_ATAS_224_2010</w:t>
      </w:r>
    </w:p>
    <w:p>
      <w:r>
        <w:t>FR: GE_GERICHTE ATAS/224/2010 du 9 mars 2010</w:t>
      </w:r>
    </w:p>
    <w:p>
      <w:r>
        <w:t>IT: GE_GERICHTE ATAS/224/2010 del 9 marzo 2010</w:t>
      </w:r>
    </w:p>
    <w:p>
      <w:pPr>
        <w:pStyle w:val="Heading2"/>
      </w:pPr>
      <w:r>
        <w:t>Regeste</w:t>
      </w:r>
    </w:p>
    <w:p>
      <w:r>
        <w:t>Résumé: Dans le cas d'un assuré qui n'exerce pas d'activité lucrative en raison de son atteinte à la santé, il convient d'évaluer son invalidité exclusivement selon les principes applicables aux personnes exerçant une activité lucrative et non pas en fonction de son incapacité à accomplir ses travaux habituels. Un émolument de 1'000.- fr. se justifie à l'endroit de l'autorité intimée qui rejette sans nuance le caractère probant d'une expertise.</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t>A/2751/2008 - 11/17 -</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leur entrée en vigueur (ATF 117 V 71 consid. 6b). En l’espèce, la demande de prestation a été formée le 15 mars 2005 et la décision litigieuse date du 21 juillet 2008. Par conséquent, d’un point de vue matériel, le droit éventuel à une rente d’invalidité doit être examiné au regard des nouvelles normes de la LPGA et des modifications de la LAI consécutives à la 4ème révision de cette loi, entrées en vigueur le 1er janvier 2004 dans la mesure de leur pertinence, et, pour la période postérieure au 1er janvier 2008, au regard des modifications de la LAI consécutives à la 5ème révision entrées en vigueur le 1er janvier 2008, le cas échéant (ATF 130 V 445 et les références, voir également ATF 130 V 329).</w:t>
      </w:r>
    </w:p>
    <w:p>
      <w:r>
        <w:rPr>
          <w:b/>
        </w:rPr>
        <w:t>E. 3</w:t>
      </w:r>
    </w:p>
    <w:p>
      <w:r>
        <w:t>Déposé dans les formes et délai prévus par la loi, le présent recours est recevable (art. 56 à 61 LPGA).</w:t>
      </w:r>
    </w:p>
    <w:p>
      <w:r>
        <w:rPr>
          <w:b/>
        </w:rPr>
        <w:t>E. 4</w:t>
      </w:r>
    </w:p>
    <w:p>
      <w:r>
        <w:t>Est en l'espèce litigieuse la question de savoir si l'incapacité de travail du recourant est due à sa toxicomanie, et dans ce cas, si celle-ci entraîne une atteinte à la santé physique ou mentale qui nuit à sa capacité de gain ou si sa dépendance résulte d'une atteinte à la santé ayant valeur de maladie invalidante.</w:t>
      </w:r>
    </w:p>
    <w:p>
      <w:r>
        <w:rPr>
          <w:b/>
        </w:rPr>
        <w:t>E. 5</w:t>
      </w:r>
    </w:p>
    <w:p>
      <w:r>
        <w:t>a) Aux termes de l’art. 4 LAI, l’invalidité (art. 8 LPGA) peut résulter d’une infirmité congénitale, d’une maladie ou d’un accident (al. 1er). L’invalidité est réputée survenue dès qu’elle est, par sa nature et sa gravité, propre à ouvrir droit aux prestations entrant en considération (al. 2). Aux termes de l’art. 8 al. 1er LPGA, 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b) Selon l’art. 29 al. 1er LAI dans sa teneur en vigueur du 1er janvier 1988 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Conformément à l’art. 29 al. 2 LAI, la rente est allouée dès le début du mois au cours duquel le droit à la rente a pris naissance, mais au plus tôt dès le mois qui suit</w:t>
      </w:r>
    </w:p>
    <w:p>
      <w:r>
        <w:t>A/2751/2008 - 12/17 - le dix-huitième anniversaire de l’assuré. Le droit ne prend pas naissance tant que l’assuré peut prétendre une indemnité journalière au sens de l’art. 22 LAI. c) 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d) En vertu de l’art. 28 LAI en vigueur du 1er janvier 2004 au 31 décembre 2007, l’art. 16 LPGA s’applique à l’évaluation de l’invalidité des assurés exerçant une activité lucrative (al. 2). L’invalidité de l’assuré qui n’exerce pas d’activité lucrative et dont on ne peut raisonnablement exiger qu’il en entreprenne une est évaluée, en dérogation à l’art. 16 LPGA, en fonction de son incapacité à accomplir ses travaux habituels (al. 2bis). Toutefois, lorsqu’il y a lieu d’admettre que si l’assuré ne souffrait d’aucune atteinte à la santé, il exercerait, au moment de l’examen de son droit à la rente, une activité lucrative à temps complet, l’invalidité est évaluée exclusivement selon les principes applicables aux personnes exerçant une activité lucrative (art. 27bis RAI).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6</w:t>
      </w:r>
    </w:p>
    <w:p>
      <w:r>
        <w:t>a)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À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w:t>
      </w:r>
    </w:p>
    <w:p>
      <w:r>
        <w:t>A/2751/2008 - 13/17 - nuit à la capacité de gain de l’assuré, ou si elle résulte elle-même d’une atteinte à la santé physique ou mentale qui a valeur de maladie (ATF 99 V 28 consid. 2 ; VSI 2002 p. 32 consid. 2a, 1996 p. 319 consid. 2a). b)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c)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Il n’est pas nécessaire que le diagnostic posé par l’expert soit émaillé de références à la doctrine médicale. On attend bien plutôt de l’expert un diagnostic précis et formulé selon les règles de la science médicale. S’il ne s’agit que d’une suspicion ou d’un diagnostic possible, l’expert doit le signaler explicitement (ATFA non publié du 12 septembres 2005, I 435/05 consid. 2 ; voir à ce sujet MEINE, L’expert et l’expertise – critères de validité de l’expertise médicale, in L’expertise médicale, édition Médecine et Hygiène, 2002, p. 21).</w:t>
      </w:r>
    </w:p>
    <w:p>
      <w:r>
        <w:t>A/2751/2008 - 14/17 -</w:t>
      </w:r>
    </w:p>
    <w:p>
      <w:r>
        <w:rPr>
          <w:b/>
        </w:rPr>
        <w:t>E. 7</w:t>
      </w:r>
    </w:p>
    <w:p>
      <w:r>
        <w:t>Dans le cas d'espèce, la persistance du SMR à contester les avis médicaux du Dr I_________, expert et du Dr J_________, psychiatre de l'assuré, figurant au dossier a amené le Tribunal de céans à ordonner une expertise judiciaire. On rappellera que le juge ne s'écarte des conclusions d'une telle expertise que s'il existe des motifs impératifs. Il convient, par conséquent, d'examiner si les arguments développés par le SMR, et sur lesquels se fonde l'OAI, constituent des motifs suffisants pour remettre en cause le bien-fondé des conclusions de l'expert. A cet égard, on relèvera que, s'agissant de l'expertise de la Dresse Q________, l'ensemble des critères jurisprudentiels sont réunis pour qu'une pleine valeur probante lui soit reconnue. On constate, en effet, que cette expertise repose sur un examen approfondi du dossier, l'expert a examiné le recourant à deux reprises, elle a pris en considération les diverses pièces médicales figurant au dossier du Tribunal et au dossier du patient auprès des HUG, elle a eu trois entretiens téléphoniques avec le Dr J_________, médecin traitant psychiatre et deux entretiens téléphoniques avec la Dresse R________, médecin traitant du recourant, pour apprécier son état de santé. On observe également que l'expertise comprend une anamnèse très détaillée et qu'elle fait état de l'ensemble des données subjectives et objectives du recourant. Elle est établie de manière neutre et libre de toute appréciation dépréciante. La situation médicale du recourant y est clairement exposée et l'expert pose des diagnostics précis, qu'elle discute. Il explique en particulier sur quels éléments elle s'est fondée pour poser son diagnostic. L'expert détaille ensuite les limitations fonctionnelles liées aux diagnostics posés et conclut qu'aucune activité n'est adaptée au cas du recourant. Elle démontre aussi que le trouble de la personnalité est préexistant à la toxicomanie et entraîne en soi une incapacité totale de travail. Ce trouble est, de par sa gravité et son impact sur la capacité de travail, comparable à une schizophrénie, ce qui explique que le Dr G__________ avait évoqué ce diagnostic en 2004. De surcroit, l'expert explique ses divergences avec les conclusions du SMR de façon circonstanciée. En particulier, elle relève avec pertinence que c'est en raison de conditions très particulières que l'assuré a obtenu un CFC et travaillé comme marin, sans que cela soit déterminant car il est démontré que c'est depuis son jeune âge que le patient est atteint du trouble grave retenu, qui ne s'amende ni en cas d'abstinence ni après cinq ans de vie stable à Genève. Contrairement à ce qui est affirmé par le SMR après l'expertise, l'expert a effectué une analyse très complète du dossier, tant au niveau de l'expertise du Dr I_________, que de l'avis de Dr J_________ et des objections du SMR. Elle a demandé un examen somatique par le médecin traitant et longuement écouté et analysé les plaintes du patient. Elle ne se contredit pas entre les diagnostics et l'analyse du caractère secondaire de la toxicomanie. L'erreur quant à l'incapacité liée à l'alcoolisme est à l'évidence une faute de frappe, car l'analyse faite montre bien que l'expert ne retient pas d'incapacité actuelle de ce fait en raison de</w:t>
      </w:r>
    </w:p>
    <w:p>
      <w:r>
        <w:t>A/2751/2008 - 15/17 - l'abstinence. D'ailleurs, elle le répète plusieurs fois. Les critiques du SMR en lien avec l'obtention d'un CFC par l'assuré ont été écartées avec pertinence par l'expert. Dans ses dernières conclusions, le SMR se contente de les répéter sans analyser ou contester les réponses déjà données par l'expert. Au vu de ce qui précède, on doit admettre que les remarques de SMR ne sont pas de nature à faire douter de la pertinence des conclusions de l'expert ni à remettre en cause ses diagnostics. Il convient, par conséquent, d'accorder une pleine valeur probante à cette expertise et d'en suivre les conclusions. Selon l'expert, le recourant présente une incapacité totale de travail, en raison de troubles psychiatriques distincts de sa dépendance à l'alcool et ceci dans toute activité, même adaptée.</w:t>
      </w:r>
    </w:p>
    <w:p>
      <w:r>
        <w:rPr>
          <w:b/>
        </w:rPr>
        <w:t>E. 8</w:t>
      </w:r>
    </w:p>
    <w:p>
      <w:r>
        <w:t>Le Dr I_________ n'a pas daté le début de l'incapacité durable, estimant que cela n'était pas évaluable avec précision. La Dresse Q________ indique que le début de l'incapacité de travail est certainement ancienne (1983), mais impossible à préciser. Par contre, elle détermine l'incapacité de gain durable et totale au début de l'année 2000, ce qui implique que le droit à la rente s'est ouvert en tout cas début 2001. La précision de l'anamnèse et les conclusions concernant la préexistence des troubles psychiques sur la toxicomanie ressortant de l'expertise de la Dresse Q________ font qu'il convient de retenir la date admise par cet expert. La demande a été déposée le 15 mars 2005, de sorte que le recourant peut prétendre au paiement rétroactif de sa rente seulement pour les douze mois précédant le dépôt de sa demande, soit dès le 15 mars 2004, de sorte que la rente doit être allouée depuis le 1er mars 2004 (art. 48, al. 2 et 29, al. 2 LAI).</w:t>
      </w:r>
    </w:p>
    <w:p>
      <w:r>
        <w:rPr>
          <w:b/>
        </w:rPr>
        <w:t>E. 9</w:t>
      </w:r>
    </w:p>
    <w:p>
      <w:r>
        <w:t>L'assuré n'exerce pas d'activité lucrative depuis 1986. Toutefois, il faut admettre que s'il n'avait pas été atteint dans sa santé, il aurait exercé une activité lucrative à temps complet, de sorte que son invalidité doit être évaluée exclusivement selon les principes applicables aux personnes exerçant une activité lucrative et non pas en fonction de son incapacité à accomplir ses travaux habituels. L'assuré est totalement incapable d'exercer une quelconque activité lucrative, même adaptée, de sorte qu'il est invalide à 100% et a droit à une rente entière d'invalidité. Le recours est donc admis.</w:t>
      </w:r>
    </w:p>
    <w:p>
      <w:r>
        <w:rPr>
          <w:b/>
        </w:rPr>
        <w:t>E. 10</w:t>
      </w:r>
    </w:p>
    <w:p>
      <w:r>
        <w:t>Le recourant, qui obtient gain de cause, a droit à des dépens, fixés en l'espèce à 500 fr, son mandataire n'ayant pas eu d'écritures à rédiger. Par ailleurs, la loi fédérale du 16 décembre 2005 modifiant la LAI, entrée en vigueur le 1er juillet 2006, a apporté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1bis LAI). Le présent cas est soumis au nouveau</w:t>
      </w:r>
    </w:p>
    <w:p>
      <w:r>
        <w:t>A/2751/2008 - 16/17 - droit (ch. II let. c des dispositions transitoires relatives à la modification du 16 décembre 2005), de sorte qu’il sera perçu un émolument. Dans le cas d'espèce, il est admissible que le SMR conteste l'un ou l'autre point des expertises du Dr I_________ et de la Dresse Q________. Par contre, le rejet sans nuances du caractère probant de l'expertise sur la base d'une appréciation lacunaire, en reprenant les arguments pourtant soumis à l'appréciation et discutés par l'expert, en remettant en cause les compétences professionnelles des deux experts et du médecin traitant, dont les diagnostics et les conclusions sur l'incapacité totale se rejoignent en grande partie, lorsque le médecin qui prend position n'a pas la spécialisation requise et donc pas les compétences des trois autres médecins, a pour conséquence de rallonger et complexifier inutilement la procédure. Pour ces raisons, l'émolument sera en l'espèce fixée à 1’000 fr.</w:t>
      </w:r>
    </w:p>
    <w:p>
      <w:r>
        <w:t>A/2751/2008 - 17/17 -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