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ATAS/224/2008 vom 27. Februar 2008</w:t>
      </w:r>
    </w:p>
    <w:p>
      <w:r>
        <w:t>GE Cour de justice, 2008-02-27, FR</w:t>
      </w:r>
    </w:p>
    <w:p>
      <w:r>
        <w:rPr>
          <w:b/>
        </w:rPr>
        <w:t xml:space="preserve">Quelle: </w:t>
      </w:r>
      <w:r>
        <w:t>https://mcp.opencaselaw.ch/entscheid/ge_gerichte_ATAS_224_2008</w:t>
      </w:r>
    </w:p>
    <w:p>
      <w:r>
        <w:t>FR: GE_GERICHTE ATAS/224/2008 du 27 février 2008</w:t>
      </w:r>
    </w:p>
    <w:p>
      <w:r>
        <w:t>IT: GE_GERICHTE ATAS/224/2008 del 27 febbraio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Etant donné que les faits déterminants se sont réalisés en partie avant et après l’entrée en vigueur de la LPGA, le droit à la rente doit-il être examiné au regard de l'ancien droit pour la période jusqu'au 31 décembre 2002 et en fonction de la nouvelle réglementation légale après cette date (ATF 130 V 445 et les références; cf. aussi ATF 130 V 329).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w:t>
      </w:r>
    </w:p>
    <w:p>
      <w:r>
        <w:t>A/2096/2007 - 8/16 - développée à leur propos peut être reprise et appliquée (ATF 130 V 345 consid. 3). Les dispositions de la novelle du 21 mars 2003 modifiant la LAI (4ème révision), entrées en vigueur le 1er janvier 2004 (RO 2003 3852), sont régies par le même principe. Enfin,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Selon l’art. 60 al. 1 LPGA, le délai de recours est de trente jours. La décision sur opposition du 3 mai 2007 a été reçue par le recourant le 4 mai 2007 et le délai de recours n'a commencé à courir que le lendemain de la réception de sorte qu'il est arrivé à échéance le mardi 6 juin 2007, lendemain du lundi de Pentecôte (art. 38 al. 1 et 3 LPGA). Interjeté dans les forme et délai prévus par la loi, le recours déposé le 29 mai 2007 est recevable, en vertu des art. 56 ss LPGA.</w:t>
      </w:r>
    </w:p>
    <w:p>
      <w:r>
        <w:rPr>
          <w:b/>
        </w:rPr>
        <w:t>E. 4</w:t>
      </w:r>
    </w:p>
    <w:p>
      <w:r>
        <w:t>Le litige porte sur la question de savoir si l'invalidité du recourant s'est modifiée de manière à influencer son droit à la rente.</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w:t>
      </w:r>
    </w:p>
    <w:p>
      <w:r>
        <w:rPr>
          <w:b/>
        </w:rPr>
        <w:t>E. 6</w:t>
      </w:r>
    </w:p>
    <w:p>
      <w:r>
        <w:t>En vertu de l’art. 28 al. 1 LAI (dans sa version antérieure au 1er janvier 2004), l’assuré a droit à une rente entière s’il est invalide à 66 2/3% au moins, à une demi- rente s’il est invalide à 50 % au moins, ou à un quart de rente s’il est invalide à</w:t>
      </w:r>
    </w:p>
    <w:p>
      <w:r>
        <w:t>A/2096/2007 - 9/16 - 40 %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rPr>
          <w:b/>
        </w:rPr>
        <w:t>E. 7</w:t>
      </w:r>
    </w:p>
    <w:p>
      <w:r>
        <w:t>Le recourant allègue que le nouveau calcul du taux d’invalidité dès le 1er septembre 2004 est erroné au motif, d’une part, qu’il n’existe aucune activité sur un marché équilibré du travail correspondant à ses limitations fonctionnelles, d’autre part, que ce calcul reprend d’autres chiffres que ceux de la décision de 2003 pour établir le revenu sans invalidité, enfin, qu’il ne procède pas à un abattement de 25 % sur le revenu d’invalide. Pour sa part, l’intimé justifie la prise en considération des salaires statistiques pour déterminer le revenu sans invalidité par la faillite de l’ancien employeur et soutient que l’abattement sur le revenu d’invalide est tout au plus de 10 %. En l'espèce, le recourant ne conteste pas la valeur probante des rapports du Dr N__________, ni l’appréciation faite par ce médecin de sa capacité résiduelle de travail théorique et de ses limitations fonctionnelles. De plus, aucun élément du dossier ne permet de douter de l’appréciation du Dr N__________ puisque les limitations fonctionnelles qu’il a mises en évidence concordent avec celles des autres médecins alors que le rapport du Dr P_________ du 17 novembre 2005 ne critique pas l’appréciation du Dr N__________, mais bien la décision de l’intimé. Au demeurant, son degré de motivation n’est pas suffisant pour qu’il puisse être pris en considération d’autant plus qu’en reprochant à l’OCAI de ne pas avoir tenu compte des plaintes du patient, le médecin-traitant semble ignorer que, compte tenu des difficultés en matière de preuve, les seules plaintes subjectives de l'assuré ne suffisent pas pour justifier une invalidité (entière ou partielle; ATFA non publié du 30 novembre 2004, I 600/03, consid. 3.2). Par conséquent, il est établi que la capacité résiduelle de travail du recourant est de 70 % dans une activité adaptée à ses limitations fonctionnelles depuis le mois de septembre 2004 jusqu’au 31 janvier 2006, puis nulle du 1er février au 31 juillet 2006, et enfin à nouveau de 70 % dès le 1er août 2006. Etant donné que l’état de santé du recourant s’est aggravé avec incidence sur sa capacité résiduelle de travail, une première fois durablement dès le mois de</w:t>
      </w:r>
    </w:p>
    <w:p>
      <w:r>
        <w:t>A/2096/2007 - 10/16 - septembre 2004, puis une deuxième fois de façon limitée du mois de février au 31 juillet 2006, il y a lieu de procéder à un nouveau calcul du droit à la rente d’invalidité dès 2004 puis d’examiner s’il convient de réviser la rente d’invalidité en cours.</w:t>
      </w:r>
    </w:p>
    <w:p>
      <w:r>
        <w:rPr>
          <w:b/>
        </w:rPr>
        <w:t>E. 8</w:t>
      </w:r>
    </w:p>
    <w:p>
      <w:r>
        <w:t>Il s’agit de vérifier que le calcul du taux d’invalidité effectué par l’intimé dans sa décision sur opposition du 3 mai 2007 est correct. Dans un premier grief, le recourant reproche à l’intimé de s'être fondé sur des hypothèses irréalistes quant aux activités adaptées qu'il pourrait exercer eu égard à l’importance de ses limitations fonctionnelles. Lorsqu'il s'agit d'examiner dans quelle mesure un assuré peut encore exploiter économiquement sa capacité de gain résiduelle sur le marché du travail entrant en considération pour lui (art. 28 al. 2 LAI dans sa teneur en vigueur jusqu’au 31 décembre 2007),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296 consid. 3b et les références). La notion de marché équilibré du travail est une notion théorique et abstraite, qui sert de critère distinctif entre les cas tombant sous le coup de l'assurance chômage et ceux qui relèvent de l'assurance- invalidité (ATF 110 V 273 consid. 4b). En l’espèce, il n’est pas contesté que le recourant connaît des limitations l’empêchant de porter des charges au-delà de 10 kilos de façon répétitive, de maintenir une position statique assise au-delà d’une heure et debout au-delà de 20 minutes, de marcher au-delà d’une heure, d’utiliser à répétition les membres supérieurs au-delà de 90°, d’adopter une position en porte-à-faux ou en antéflexion du rachis, de s'agenouiller ou s'accroupir de façon répétée, d’utiliser des machines à outils ayant des vibrations de 5 hertz, d’adopter une position en extension ou en flexion forcée du rachis cervical et d’effectuer des mouvements répétitifs de rotation droite/gauche du rachis cervical. Dans divers jugements relatifs à des assurés souffrant de troubles physiques et de limitations similaires au recourant, notamment de hernies ou protrusions discales lombaires et cervicales avec limitation du port de charges ainsi que restriction de mouvements, le Tribunal fédéral des assurances (ci-après : TFA) a jugé que ces limitations fonctionnelles ne les empêchaient pas de mettre en pratique leur capacité résiduelle de travail. Il n’a pas considéré qu’un emploi correspondant à</w:t>
      </w:r>
    </w:p>
    <w:p>
      <w:r>
        <w:t>A/2096/2007 - 11/16 - leurs limitations fonctionnelles ne pouvait être exercé que sous une forme tellement restreinte qu'il n'existerait pratiquement pas sur le marché général du travail ou que l’exercice de cet emploi supposerait de la part de l'employeur des concessions irréalistes de sorte qu’il semblerait exclu de trouver un emploi correspondant (cf. notamment ATFA non publiés du 21 novembre 2006, I 833/05 et du 19 octobre 2005, I 38/05). Par ailleurs, dans un tout récent arrêt du 8 janvier 2008 (9C_313/07), le TFA a effectivement admis que les possibilités d’un emploi adapté aux importantes limitations de la recourante (en particulier de ses membres supérieurs) n’apparaissaient pas suffisantes pour admettre qu’elle puisse mettre en valeur sa capacité de travail résiduelle sur le plan économique. Or, cette assurée devait éviter le port de charges supérieures à un kilo et les mouvements de bras au- dessus de l’horizontale tout en ne disposant que d’une force limitée de préhension et de serrage soit une situation en rien comparable avec celle du recourant qui peut porter des charges jusqu’à 10 kilos et qui ne connaît pas de diminution de force de préhension ainsi que de serrage. Dans un deuxième grief, le recourant reproche à l’intimé de prétendre à tort que les postes de travail à l’établi, de gardien de musée et d’opérateur de presse tiennent compte de ses limitations fonctionnelles. Il expose que, d’une part dans le poste de travail à l’établi, il devrait maintenir une position statique en permanence, rester penché en avant et tenir les bras à hauteur du menton, d’autre part dans celui de gardien de musée, il devrait avoir une bonne connaissance de la langue française et être en mesure de se déplacer rapidement, enfin dans l’activité d’opérateur de presse, il devrait avoir une bonne résistance physique et une capacité à rester longtemps debout. Les postes de travail à l’établi et d’opérateur de presse ne semblent nullement impliquer le maintien d’une position statique durant toute la journée mais, bien au contraire, permettre de changer de position au bout d’un certain temps. D’ailleurs, si tel n’était pas le cas, on ne voit pas ce qui empêcherait le recourant de faire une pause lorsque la position commence à être douloureuse puisque la diminution de rendement de 30 % admise par le Dr N__________ a justement pour but de permettre au recourant d’aménager des pauses lors que le besoin s’en fait sentir. Par ailleurs, on ne voit pas davantage en quoi le poste de travail à l’établi nécessite de se pencher en avant et de tenir les bras à hauteur du menton pour exécuter le travail étant précisé qu’il n’y a pas de contre-indication pour le recourant à travailler avec les bras à hauteur des épaules puisque sa limitation ne concerne que les positions au-delà de 90°. Quant au poste de gardien de musée, toutes les personnes qui se sont entretenues avec le recourant s’accordent pour reconnaître qu’il parle correctement le français. Par ailleurs, il semble spécieux d’invoquer ses difficultés à se mouvoir rapidement pour démonter que cette activité n’est pas adaptée car l’éventualité d’une évacuation d’urgence est extrêmement faible. Quoiqu’il en soit, si abstraitement, il semble que ces activités soient adaptées aux limitations fonctionnelles du recourant, la question de savoir si tel est le cas concrètement peut</w:t>
      </w:r>
    </w:p>
    <w:p>
      <w:r>
        <w:t>A/2096/2007 - 12/16 - rester non résolue, car, de toute façon, il existe d'autres activités adaptées à ses limitations fonctionnelles. En effet, quand bien même les activités proposées pourraient apparaître trop pénibles ou exigeantes au vu des limitations physiques du recourant, on ne voit pas en quoi la mise en pratique de sa capacité résiduelle de travail ne serait raisonnablement pas exigible au regard de son handicap dès lors que le marché du travail offre un large éventail d'activités légères ressortant aux secteurs de la production et des services. On peut à cet égard citer par exemple des tâches simples de vérification ou de contrôle ou encore des tâches d'approvisionnement de machines ou d'unités de production automatiques ou semi- automatiques (voir notamment ATFA non publiés du 30 novembre 2006, I 805/05, consid. 5.3, du 2 février 2005, I 394/04, consid. 3.2, du 11 juillet 2005, I 531/04, consid. 4.3 et les références).</w:t>
      </w:r>
    </w:p>
    <w:p>
      <w:r>
        <w:rPr>
          <w:b/>
        </w:rPr>
        <w:t>E. 9</w:t>
      </w:r>
    </w:p>
    <w:p>
      <w:r>
        <w:t>Il reste à procéder à la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En règle générale, le revenu hypothétique de la personne valide se détermine en établissant au degré de la vraisemblance prépondérante ce qu'elle aurait effectivement pu réaliser au moment déterminant si elle était en bonne santé, en tenant compte de l'évolution des salaires jusqu'au moment du prononcé de la décision (ATF 129 V 224 consid. 4.3.1).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par exemple lorsqu'avant d'être reconnu définitivement incapable de travailler, il rencontrait des difficultés professionnelles en raison d'une aggravation progressive de son état de santé (RCC 1985 p. 662 consid. 3a) ou percevait une rémunération inférieure aux normes de salaire usuelles (sur la question, voir ATFA non publié du 17 octobre 2003, B 80/01,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w:t>
      </w:r>
    </w:p>
    <w:p>
      <w:r>
        <w:t>A/2096/2007 - 13/16 -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w:t>
      </w:r>
    </w:p>
    <w:p>
      <w:r>
        <w:rPr>
          <w:b/>
        </w:rPr>
        <w:t>E. 10</w:t>
      </w:r>
    </w:p>
    <w:p>
      <w:r>
        <w:t>En l’espèce, la comparaison des revenus doit se faire au regard de la situation existant en 2004 (cf. ATF 129 V 222; ATFA non publié du 27 avril 2006, I 60/05, consid. 3). Quant au revenu sans invalidité, l'intimé a pris en considération le revenu statistique de niveau 4 pour 2004 estimant que le revenu obtenu avant le début de l'atteinte à la santé, à savoir celui de plâtrier, ne pouvait pas servir de base de calcul en raison de la faillite de l’ancien employeur. Pour sa part, le recourant considère que rien ne justifie de s'écarter de son dernier revenu qui est entré en force. Contrairement à ce que prétend le recourant, la faillite de son ancien employeur a une incidence sur le revenu sans invalidité puisque, s’il était en bonne santé, il n’aurait pas pu continuer à travailler en 2004 pour ce même employeur de sorte qu’il n’est pas possible de se baser sur le revenu obtenu avant le début de l’invalidité et actualisé à la date de la révision. Dans le cas d’un assuré maçon et en l'absence de données établies par l'ancien employeur du recourant tombé en faillite, le TFA n’a pas critiqué l’utilisation par le Tribunal de céans de l’ESS pour établir le revenu sans invalidité (cf. à ce sujet ATFA non publié du 25 juin 2007, I 109/07, consid. 4.3.1). Au demeurant, dans un arrêt antérieur le TFA a précisé qu’il y avait lieu d’établir le revenu sans invalidité sur la base de l’ESS notamment lorsque le poste de travail de l'assuré avant la survenance de l'atteinte à la santé n'existait plus au moment déterminant de l'évaluation de l'invalidité (ATFA déjà cité B 80/01). Par conséquent, c’est à juste titre que l’intimé a déterminé le revenu sans invalidité de cette façon. En définitive, à défaut de pouvoir disposer de renseignements concrets fiables sur le revenu qu'aurait pu réaliser le recourant au moment du calcul de la rente d’invalidité en 2004, il convient de se référer aux données salariales ressortant de l'ESS 2004 aussi bien pour établir le revenu sans invalidité qu'avec invalidité</w:t>
      </w:r>
    </w:p>
    <w:p>
      <w:r>
        <w:t>A/2096/2007 - 14/16 - (ATFA non publié du 13 janvier 2005, I 137/04, consid. 5.1.2 et 5.1.3). Quant au premier, étant donné qu’en 2004, le recourant aurait eu six années d’expérience dans l’activité de plâtrier et huit ans dans celle de marbrier, il faut admettre que même s’il n’a pas de formation théorique validée par un certificat, il y a également lieu de tenir compte de l'expérience qu’il a acquise dans les activités de marbrier et de plâtrier depuis qu'il a travaillé en Suisse (cf. ATFA non publié du 19 janvier 2007, I 22/06, consid. 3.1.2). En effet, la CCT du Bâtiment (second œuvre) produite par l’intimé (ch. 3.11) distingue entre manœuvre (sans connaissance professionnelle) et employé sans CFC ou avec CFC mais moins de trois années d’activité, ce qui démontre que, dans le domaine du second œuvre, trois années d’expérience professionnelle sont assimilables aux connaissances d’un employé avec CFC. Par ailleurs, ces chiffres sont relativement proches du salaire que le recourant obtenait chez son ancien employeur ce qui confirme que le recourant était payé en fonction de son expérience professionnelle. Par conséquent, il convient de prendre en considération le niveau 3 et la moyenne du domaine d’activité de la construction (secteur 11, table TA7 2004), soit un salaire mensuel pour homme de 5’350 fr., respectivement de 64’200 fr. par année. Puisque les salaires bruts standardisés sont fondés sur un horaire de travail de quarante heures (ATF 129 V 410 consid. 3.1.2), ce revenu statistique doit encore être adapté à l'horaire de travail en 2004 qui était de 41.6 heures par semaine (OFS, durée normale de travail dans les entreprises) soit à 66'768 fr. (64’200 x 41.6 : 40). Quant au revenu avec invalidité, compte tenu de l'activité de substitution que pourrait exercer le recourant dans une activité légère et adaptée, le salaire de référence est celui auquel peuvent prétendre les hommes effectuant des activités simples et répétitives (niveau de qualification 4) dans le secteur privé, soit 4'588 fr. par mois en 2004, ou 55'056 fr. annuellement (ESS 2004 TA1). Au regard du large éventail d'activités simples et répétitives que recouvrent les secteurs de la production et des services, on doit en effet convenir qu'un certain nombre d'entre elles sont légères et adaptées aux problèmes vertébraux du recourant. Ce revenu doit être adapté au rendement de 70 % du recourant (55'056 x 70 % = 38'539.20) et à l’horaire de travail en 2004 de sorte qu’il s’élève à 40'080 fr. 75 (38'539.20 x 41.6 : 40). Etant donné que les limitations du recourant, sa capacité partielle de travail et la pratique d'activités légères impliquent un salaire moins élevé qu'un travailleur en bonne santé, il y a lieu de procéder à un abattement généreux de 15 % afin de tenir compte qu'il ne pourrait obtenir qu'un salaire moins élevé que le salaire statistique (ATFA non publiés du 10 mai 2002, I 481/01, consid. 4c et du 2 décembre 2002, I 500/02, consid. 1.4.1). Par conséquent, le revenu d'invalide s'élève à 34’068 fr. 65 (40'080 x 85 %) de sorte que le taux d'invalidité est pour 2004 dans le meilleur des cas de 49 % (66’768 - 34'068.65 : 66’768) ce qui confirme que le recourant n’a droit qu’à un quart de rente.</w:t>
      </w:r>
    </w:p>
    <w:p>
      <w:r>
        <w:t>A/2096/2007 - 15/16 - Contrairement à ce que soutient le recourant, même s’il présente de nombreuses limitations fonctionnelles, celles-ci ne justifient pas la prise en considération d’un salaire statistique autre que le salaire médian qui est d’ailleurs seul utilisé par la jurisprudence (ATF 124 V 323 consid. 3b/bb). En effet, l’abattement appliqué sur le revenu d’invalide et la prise en considération d’un rendement de 70 % tiennent suffisamment compte des nombreuses limitations fonctionnelles du recourant sans qu’il soit nécessaire de procéder à des réductions supplémentaires (cf. ATFA non publiés des 8 juillet 2003, I 515/02, consid. 4.4 et du 10 juillet 2003, I 148/03, consid. 3.2). De plus, dans les éléments à prendre en considération pour établir le taux de l’abattement, il n’y a pas lieu de tenir compte de la nationalité étrangère du recourant puisqu’il est au bénéfice d'un permis d'établissement car les salaires statistiques sont établis en fonction de la population résidente aussi bien suisse qu'étrangère (ATFA non publié du 17 janvier 2006, I 700/04, consid. 4.3.3). Il en va de même de sa mauvaise maîtrise du français qui n’est retenue ni par les maîtres d’orientation professionnelle, ni par le Dr N__________. La question de savoir si cet élément est avéré peut rester non résolue car, de toute évidence, sa mauvaise maîtrise de la langue ne l'a ni empêché, ni limité dans l'exercice de ses activités lucratives antérieures de sorte qu'il n'y a pas lieu de considérer que ce facteur nécessite une réduction de salaire supplémentaire. Par conséquent, les conditions d’une révision de rente ne sont pas réalisées hormis pour la période de février à fin juillet 2006 pour laquelle l’intimé a accepté de verser une rente entière d’invalidité du 1er mai au 31 octobre 2006 en application de l’art. 88a al. 1 et 2 RAI. L’intimé ayant admis que sa décision sur opposition du 3 mai 2007 comportait une erreur de plume en tant qu’elle reconnaissait au recourant le droit à un quart de rente dès le 1er octobre 2006 alors que ce droit existe en réalité dès le 1er novembre 2006, il y a lieu de donner acte à l’intimé de la modification de sa décision sur opposition dans ce sens.</w:t>
      </w:r>
    </w:p>
    <w:p>
      <w:r>
        <w:rPr>
          <w:b/>
        </w:rPr>
        <w:t>E. 11</w:t>
      </w:r>
    </w:p>
    <w:p>
      <w:r>
        <w:t>Mal fondé, le recours sera rejeté. Au vu du sort du recours, il y a lieu de condamner le recourant au paiement d'un émolument de 200 fr.</w:t>
      </w:r>
    </w:p>
    <w:p>
      <w:r>
        <w:t>A/2096/2007 - 16/16 -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