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ATAS/223/2026 vom 17. März 2026</w:t>
      </w:r>
    </w:p>
    <w:p>
      <w:r>
        <w:t>GE Cour de justice, 2026-03-17, FR</w:t>
      </w:r>
    </w:p>
    <w:p>
      <w:r>
        <w:rPr>
          <w:b/>
        </w:rPr>
        <w:t xml:space="preserve">Quelle: </w:t>
      </w:r>
      <w:r>
        <w:t>https://mcp.opencaselaw.ch/entscheid/ge_gerichte_ATAS_223_2026</w:t>
      </w:r>
    </w:p>
    <w:p>
      <w:r>
        <w:t>FR: GE_GERICHTE ATAS/223/2026 du 17 mars 2026</w:t>
      </w:r>
    </w:p>
    <w:p>
      <w:r>
        <w:t>IT: GE_GERICHTE ATAS/223/2026 del 17 marzo 2026</w:t>
      </w:r>
    </w:p>
    <w:p>
      <w:pPr>
        <w:pStyle w:val="Heading2"/>
      </w:pPr>
      <w:r>
        <w:t>Erwägungen</w:t>
      </w:r>
    </w:p>
    <w:p>
      <w:r>
        <w:rPr>
          <w:b/>
        </w:rPr>
        <w:t>E. 1</w:t>
      </w:r>
    </w:p>
    <w:p>
      <w:r>
        <w:t>Par arrêt du 5 août 2025, le Tribunal fédéral a renvoyé la cause à la chambre de céans pour instruction complémentaire par le biais d’une expertise judiciaire pluridisciplinaire et nouvelle décision.</w:t>
      </w:r>
    </w:p>
    <w:p>
      <w:r>
        <w:rPr>
          <w:b/>
        </w:rPr>
        <w:t>E. 2</w:t>
      </w:r>
    </w:p>
    <w:p>
      <w:r>
        <w:t>Le litige porte sur le bien-fondé de la décision du 13 mars 2024 par laquelle l’intimé a supprimé, par la voie de la révision, la rente entière d'invalidité accordée à la recourante depuis le 1er mars 2012, par décision du 3 juin 2013.</w:t>
      </w:r>
    </w:p>
    <w:p>
      <w:r>
        <w:rPr>
          <w:b/>
        </w:rPr>
        <w:t>E. 3</w:t>
      </w:r>
    </w:p>
    <w:p>
      <w:r>
        <w:t>Dans le cadre du « développement continu de l'AI », la loi fédérale sur l’assurance-invalidité du 19 juin 1959 (LAI - 831.20), le règlement du 17 janvier 1961 sur l’assurance-invalidité du 17 janvier 1961 (RAI - RS 831.201) et la loi fédérale sur la partie générale du droit des assurances sociales du</w:t>
      </w:r>
    </w:p>
    <w:p>
      <w:r>
        <w:rPr>
          <w:b/>
        </w:rPr>
        <w:t>E. 6</w:t>
      </w:r>
    </w:p>
    <w:p>
      <w:r>
        <w:t>octobre 2000 (LPGA - RS 830.1) - notamment - ont été modifiés avec effet au 1er janvier 2022 (RO 2021 705 ; FF 2017 2535). Dans la mesure où les modifications en question n'ont aucun effet sur la présente cause, il n'y a pas lieu de se prononcer plus avant sur d'éventuels aspects de droit transitoire. 4. En vertu de l’art. 28 al. 1 LAI,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w:t>
      </w:r>
    </w:p>
    <w:p>
      <w:r>
        <w:t>A/1102/2024 - 13/21 - en moyenne durant une année sans interruption notable et qui, au terme de cette année, est invalide (art. 8 LPGA) à 40% au moins. 4.1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6.1</w:t>
      </w:r>
    </w:p>
    <w:p>
      <w:r>
        <w:t>La personne expertisée est-elle capable d’exercer son activité lucrative habituelle depuis le 4 août 2023 ? (Veuillez préciser le taux de la capacité de travail et détailler son évolution pour chaque diagnostic).</w:t>
      </w:r>
    </w:p>
    <w:p>
      <w:r>
        <w:rPr>
          <w:b/>
        </w:rPr>
        <w:t>E. 6.1.1</w:t>
      </w:r>
    </w:p>
    <w:p>
      <w:r>
        <w:t>Si non, ou seulement partiellement, pourquoi ? Quelles sont les limitations fonctionnelles qui entrent en ligne de compte ?</w:t>
      </w:r>
    </w:p>
    <w:p>
      <w:r>
        <w:rPr>
          <w:b/>
        </w:rPr>
        <w:t>E. 6.1.2</w:t>
      </w:r>
    </w:p>
    <w:p>
      <w:r>
        <w:t>Est-ce qu’il y a une diminution de rendement ? (Veuillez le cas échéant la chiffrer).</w:t>
      </w:r>
    </w:p>
    <w:p>
      <w:r>
        <w:rPr>
          <w:b/>
        </w:rPr>
        <w:t>E. 6.2</w:t>
      </w:r>
    </w:p>
    <w:p>
      <w:r>
        <w:t>La personne expertisée est-elle capable d’exercer une activité lucrative adaptée à ses limitations fonctionnelles depuis le 4 août 2023 ? (Veuillez préciser le taux de la capacité de travail et détailler son évolution pour chaque diagnostic).</w:t>
      </w:r>
    </w:p>
    <w:p>
      <w:r>
        <w:rPr>
          <w:b/>
        </w:rPr>
        <w:t>E. 6.2.1</w:t>
      </w:r>
    </w:p>
    <w:p>
      <w:r>
        <w:t>Si oui, quel est le domaine d’activité lucrative adaptée ?</w:t>
      </w:r>
    </w:p>
    <w:p>
      <w:r>
        <w:rPr>
          <w:b/>
        </w:rPr>
        <w:t>E. 6.2.2</w:t>
      </w:r>
    </w:p>
    <w:p>
      <w:r>
        <w:t>Si non, ou seulement partiellement, pourquoi ? Quelles sont les limitations fonctionnelles qui entrent en ligne de compte ?</w:t>
      </w:r>
    </w:p>
    <w:p>
      <w:r>
        <w:t>A/1102/2024 - 20/21 -</w:t>
      </w:r>
    </w:p>
    <w:p>
      <w:r>
        <w:rPr>
          <w:b/>
        </w:rPr>
        <w:t>E. 6.2.3</w:t>
      </w:r>
    </w:p>
    <w:p>
      <w:r>
        <w:t>Est-ce qu’il y a une diminution de rendement ? (Veuillez le cas échéant la chiffrer).</w:t>
      </w:r>
    </w:p>
    <w:p>
      <w:r>
        <w:rPr>
          <w:b/>
        </w:rPr>
        <w:t>E. 6.3</w:t>
      </w:r>
    </w:p>
    <w:p>
      <w:r>
        <w:t>Des mesures médicales sont-elles nécessaires préalablement à la reprise d’une activité lucrative ? Si oui, lesquelles ?</w:t>
      </w:r>
    </w:p>
    <w:p>
      <w:r>
        <w:rPr>
          <w:b/>
        </w:rPr>
        <w:t>E. 6.4</w:t>
      </w:r>
    </w:p>
    <w:p>
      <w:r>
        <w:t>Quel est votre pronostic quant à l’exigibilité de la reprise d’une activité lucrative ? 7 Traitement 7.1 Pouvez-vous examiner le traitement suivi par la personne expertisée et analyser son adéquation ? 7.2 Est-ce que la personne expertisée s’est engagée ou s’engage dans les traitements qui sont raisonnablement exigibles et possiblement efficaces dans son cas ou n’a-t-elle que peu ou pas de demande de soins ? 7.3 Pouvez-vous fournir le taux sérique du ou des médicament(s) que consomme la personne expertisée en lien avec l’atteinte neurologique ? En ce de non-compliance, pouvez-vous indiquer si le traitement préconisé (à spécifier) aurait pu permettre une amélioration de l’état de santé de la personne expertisée sur le plan neurologique, et par conséquent de sa capacité de travail, et dans quel délai ? En cas de bonne compliance de la part de la personne expertisée, est-ce que le traitement est susceptible de participer à la fatigue dont elle se plaint, ou d’engendrer une contre-indication à la conduite privée ou professionnelle d’un véhicule ? 7.4 Pouvez-vous faire des propositions thérapeutiques et analyser leurs effets sur la capacité de travail de la personne expertisée ? 8 Interprétation des résultats de l’examen neuropsychologique 8.1 Pouvez-vous interpréter, sous l’angle neurologique, les différents résultats de l’examen neuropsychologique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E. Invite l’expert à faire une appréciation consensuelle du cas avec les Dres N______ et O______, et les Drs P_____ et Q______, s’agissant de toutes les problématiques ayant des interférences entre elles, notamment les limitations fonctionnelles et l’appréciation de la capacité de travail résiduelle. F. Invite l’expert à déposer, dans les meilleurs délais, un rapport en trois exemplaires auprès de la chambre de céans. III. Réserve le fond ainsi que le sort des frais jusqu’à droit jugé au fond.</w:t>
      </w:r>
    </w:p>
    <w:p>
      <w:r>
        <w:t>A/1102/2024 - 21/21 -</w:t>
      </w:r>
    </w:p>
    <w:p>
      <w:r>
        <w:t>La greffière</w:t>
      </w:r>
    </w:p>
    <w:p>
      <w:r>
        <w:t>Janeth WEPF</w:t>
      </w:r>
    </w:p>
    <w:p>
      <w:r>
        <w:t>La présidente</w:t>
      </w:r>
    </w:p>
    <w:p>
      <w:r>
        <w:t>Joanna JODRY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