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ATAS/223/2011 vom 1. März 2011</w:t>
      </w:r>
    </w:p>
    <w:p>
      <w:r>
        <w:t>GE Cour de justice, 2011-03-01, FR</w:t>
      </w:r>
    </w:p>
    <w:p>
      <w:r>
        <w:rPr>
          <w:b/>
        </w:rPr>
        <w:t xml:space="preserve">Quelle: </w:t>
      </w:r>
      <w:r>
        <w:t>https://mcp.opencaselaw.ch/entscheid/ge_gerichte_ATAS_223_2011</w:t>
      </w:r>
    </w:p>
    <w:p>
      <w:r>
        <w:t>FR: GE_GERICHTE ATAS/223/2011 du 1 mars 2011</w:t>
      </w:r>
    </w:p>
    <w:p>
      <w:r>
        <w:t>IT: GE_GERICHTE ATAS/223/2011 del 1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demi ou un trois quart de rente d'invalidité dès le 6 mars 2007, la demande ayant été déposée le</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Ce n'est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que la cause ne peut être tranchée en se fondant sur l'un ou l'autre de ces avis et qu'il y a alors lieu de mettre en œuvre une expertise par un médecin indépendant selon la procédure de l'article 44 LPGA ou une expertise judiciaire (ATF 135 V 465). 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w:t>
      </w:r>
    </w:p>
    <w:p>
      <w:r>
        <w:t>A/3580/2010 - 15/19 - d’instruction (arrêt I 35/03 du 24 octobre 2003 consid. 4.3 et les références, in Plädoyer 2004/3 page 64).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Dans le cas d'espèce, le médecin traitant de l'assurée atteste que le déficit sensitif S1 gauche, séquelle d'une hernie discale traitée, est sans effet sur la capacité de travail, ce qui est confirmé par le Dr L_________, neurologue. Il n'y a donc aucun diagnostic somatique entrainant des limitations fonctionnelles et ayant des conséquences sur la capacité de travail de l'assurée. Les médecins susmentionnés et les deux psychologues consultés retiennent que l'assurée a présenté à la naissance une anoxie ayant entrainé un retard psychomoteur, caractérisé par un léger bégaiement, des troubles de l'attention, une dyscalculie, des difficultés d'abstraction</w:t>
      </w:r>
    </w:p>
    <w:p>
      <w:r>
        <w:t>A/3580/2010 - 16/19 - spatiale. Les limitations fonctionnelles sont liées au langage, à la concentration et aux limites cognitives. Les effets sur la capacité de travail ne sont pas évalués en pourcent par les médecins consultés. Le Dr L_________ précise que l'assurée a su s'adapter à ses difficultés et que son intelligence a su se développer et le médecin traitant fait état d'un rendement médiocre lié à la fatigue lors d'activités nécessitant concentration et agilité. L'activité de téléphoniste semble difficile en raison du bégaiement. Il n'y a cependant aucune affection psychiatrique ou mentale qui empêche l'exercice d'une activité simple, répétitive et ne nécessitant ni concentration intense, ni agilité, ni capacités cognitives importantes.</w:t>
      </w:r>
    </w:p>
    <w:p>
      <w:r>
        <w:t>L'OAI a donc correctement apprécié les rapports médicaux, émanant au demeurant des médecins traitants, de sorte qu'il ne se justifie pas d'investiguer plus avant l'aspect médical. Il n'y a pas diagnostic expliquant les limitations physiques évoquées par l'assurée, liées aux douleurs au dos et le diagnostic de retard psychomoteur, ainsi que ses conséquences sont admis. Reste à déterminer les aptitudes de l'assurée, ses limitations et la diminution de rendement.</w:t>
      </w:r>
    </w:p>
    <w:p>
      <w:r>
        <w:rPr>
          <w:b/>
        </w:rPr>
        <w:t>E. 8</w:t>
      </w:r>
    </w:p>
    <w:p>
      <w:r>
        <w:t>Le stage d'observation, effectué avec sérieux et empathie, a permis de déterminer que les capacités manuelles, la dextérité et la coordination de l'assurée sont bonnes et compatibles avec une activité simple de conditionnement, le rendement étant alors de 90%, tandis que pour une activité plus complexe, le rendement est réduit à 60%. Le stage d'observation professionnelle en entreprise parvient aux mêmes conclusions: le rendement est de l'ordre de 75% à 80%, dans une activité simple et répétitive, l'assurée est autonome, mais un cahier des charges exigeant une diversification et des activités plus complexes n'est pas à sa portée. Les conclusions de l'ensemble des mesures de réadaptation professionnelles confirment les évaluations médicales et rien ne permet de retenir qu'elles sont contradictoires. L'assurée est ainsi capable de travailler dans l'industrie et le fait qu'elle préfère exercer une activité dans le secrétariat ou la réception n'est pas déterminant dès lors que ces activités sont incompatibles avec les limitations constatées.</w:t>
      </w:r>
    </w:p>
    <w:p>
      <w:r>
        <w:t>Le rapport de Madame D________ psychologue, ne permet pas de s'écarter des conclusions des médecins et de celles du rapport de stage. En effet, il confirme que le bilan intellectuel global de l'assurée, légèrement au dessus du seuil de la débilité légère, ne lui permet pas d'exercer une profession exigeant des capacités de raisonnement, de mémorisation, d'analyse visuo-spatiale et de mobilité intellectuelle, ce qui n'est pas contesté. Ces limitations n'empêchent pas l'assurée d'effectuer un travail de conditionnement simple.</w:t>
      </w:r>
    </w:p>
    <w:p>
      <w:r>
        <w:t>Les autres objections de l'assurée ne remettent pas non plus en cause l'évaluation de sa capacité de travail, qui doit s'apprécier sans tenir compte des conditions concrètes du marché du travail, actuellement tendu. Ni son âge (51 ans), eu égard à la jurisprudence du Tribunal Fédéral, ni son manque d'expérience, laquelle n'est pas nécessaire dans le domaine envisagé, ne peuvent être pris en compte comme</w:t>
      </w:r>
    </w:p>
    <w:p>
      <w:r>
        <w:t>A/3580/2010 - 17/19 - excluant toute possibilité d'exploiter sa capacité résiduelle de travail. S'agissant de son inadéquation - toute relative - lors d'un entretien d'embauche, due au retard mental, il y a lieu de retenir qu'elle est vraisemblablement comparable à celle d'autres candidates à un poste de conditionnement, et que d'éventuelles confidences à cette occasion ne sont pas un frein pour le poste en question, de sorte que ces éléments ne font pas obstacle à son engagement, dans le cadre d'un marché du travail équilibré, bien sûr.</w:t>
      </w:r>
    </w:p>
    <w:p>
      <w:r>
        <w:t>C'est donc à juste titre que l'intimé a retenu que l'assurée dispose d'une capacité de travail entière, avec une diminution de rendement de 20% dans une activité industrielle simple et répétitive.</w:t>
      </w:r>
    </w:p>
    <w:p>
      <w:r>
        <w:rPr>
          <w:b/>
        </w:rPr>
        <w:t>E. 9</w:t>
      </w:r>
    </w:p>
    <w:p>
      <w:r>
        <w:t>a) La détermination du revenu avec invalidité peut se fonder sur l'ESS, selon une jurisprudence maintenant bien établie du Tribunal fédéral, sans égard au fait que, concrètement, l'assurée trouve ou ne trouve pas un emploi dans l'industrie. Il suffit, et tel est le cas, que des emplois du type de celui envisageable existent à Genève. L'assurée n'a au demeurant pas encore cherché d'emploi dans ces domaines, mais en qualité de secrétaire, ce qui paraît peu réaliste eu égard à l'absence de formation et aux limitations liées à son état de santé. Le salaire d'invalide retenu est celui ressortant du TA7, ligne 10, activité de fabrication et transformation de produits, soit 4'188 fr. /mois pour un horaire de 41,7 heures. Il est donc correctement établi, dès lors que la pratique pourtant moins favorable de l'OAI consistant à retenir le salaire moyen de TA1, total, toutes activités confondues (4'290 fr./ mois), est également admise par le Tribunal fédéral lorsque seules des activités légères et répétitives sont possibles. L'OAI a tenu compte d'une diminution de rendement de 20%, ce qui est correctement fondé sur l'avis de l'entreprise (de 20 % à 25%) et de la fondation Pro (10%) et a admis un abattement supplémentaire relativement généreux de 20%, le maximum étant de 25%, pour tenir compte de l'âge de l'assurée (51 ans), l'absence d'expérience professionnelle et des limitations (intégration sociale, stress, diminution de rendement). Le revenu d'invalide retenu par l'OAI de 32'162 fr. n'est donc pas critiquable. b) L'OAI a fixé le revenu sans invalidité selon l'article 26 RAI, en raison d'un retard psychomoteur ayant eu lieu à la naissance. L'assurée a été scolarisée et a suivi quelques années de collège, mais n'a pas achevé de formation professionnelle. L'instruction n'a pas déterminé si l'assurée a tenté de suivre une formation professionnelle après le collège. Elle a travaillé, dans des conditions particulières et vraisemblablement relativement préservées, à mi-temps comme réceptionniste durant 15 ans, pour un salaire équivalent à 50'800 fr. pour un emploi à 100% en 1998. Il est impossible de déterminer quelle formation et, par conséquent, quel revenu l'assurée aurait réalisé en l'absence d'anoxie à la naissance et selon la jurisprudence citée par les directives applicables, il n'est pas admissible de se fonder sur des critères étrangers aux notions juridiques en cause pour fixer ce</w:t>
      </w:r>
    </w:p>
    <w:p>
      <w:r>
        <w:t>A/3580/2010 - 18/19 - revenu théorique (nationalité, niveau socioprofessionnel des parents, formation des frères et sœur, etc.). Contrairement aux affirmation de l'OAI, le revenu de 74'000 fr. ne ressort pas de la loi, ni du règlement d'ailleurs, mais de directives de l'OFAS, publiées sous la forme de lettres circulaires et fondées sur le revenu déterminé par l'Office fédéral de la statistique et issu de moyennes tirées des ESS. Cela étant, le revenu sans invalidité de 74'000 fr. en 2008 est fixé conformément aux directives d'application de l'art. 26 RAI. La comparaison des revenus détermine un taux d'invalidité de 57% ce qui ouvre le droit à une demi rente d'invalidité, dès le 1er avril 2007, soit un an avant le dépôt de la demande en avril 2008 conformément à l'art. 88 RAI en vigueur jusqu'au 1er janvier 2008 et donc applicable au cas d'espèce. Pour le surplus, le montant de la rente et les calculs effectués et explicités par la CCGC ne sont plus contestés.</w:t>
      </w:r>
    </w:p>
    <w:p>
      <w:r>
        <w:rPr>
          <w:b/>
        </w:rPr>
        <w:t>E. 10</w:t>
      </w:r>
    </w:p>
    <w:p>
      <w:r>
        <w:t>Ainsi, la décision de l'OAI est bien fondée et, partant, le recours est rejeté.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la Chambre des assurances sociales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fixé en l'occurrence à 200 fr.</w:t>
      </w:r>
    </w:p>
    <w:p>
      <w:r>
        <w:t>A/3580/2010 - 19/19 -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