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ATAS/222/2022 vom 9. März 2022</w:t>
      </w:r>
    </w:p>
    <w:p>
      <w:r>
        <w:t>GE Cour de justice, 2022-03-09, FR</w:t>
      </w:r>
    </w:p>
    <w:p>
      <w:r>
        <w:rPr>
          <w:b/>
        </w:rPr>
        <w:t xml:space="preserve">Quelle: </w:t>
      </w:r>
      <w:r>
        <w:t>https://mcp.opencaselaw.ch/entscheid/ge_gerichte_ATAS_222_2022</w:t>
      </w:r>
    </w:p>
    <w:p>
      <w:r>
        <w:t>FR: GE_GERICHTE ATAS/222/2022 du 9 mars 2022</w:t>
      </w:r>
    </w:p>
    <w:p>
      <w:r>
        <w:t>IT: GE_GERICHTE ATAS/222/2022 del 9 marzo 2022</w:t>
      </w:r>
    </w:p>
    <w:p>
      <w:pPr>
        <w:pStyle w:val="Heading2"/>
      </w:pPr>
      <w:r>
        <w:t>Erwägungen</w:t>
      </w:r>
    </w:p>
    <w:p>
      <w:r>
        <w:rPr>
          <w:b/>
        </w:rPr>
        <w:t>E. 33</w:t>
      </w:r>
    </w:p>
    <w:p>
      <w:r>
        <w:t>Le rapport d’expertise établi le 4 août 2021 par la Dresse S______ contient un résumé du dossier médical de la recourante, une anamnèse, une description des plaintes actuelles de cette dernière, un résumé de ses données subjectives, une description de sa journée ordinaire actuelle, ainsi que les constatations faites lors d’un examen clinique. L’experte n’a pas posé de diagnostic ophtalmologique, étant donné qu’elle n’avait pas pu mettre en évidence d’atteinte organique pouvant expliquer les plaintes de la recourante avec un degré de probabilité suffisant. Elle a relevé une discordance entre les éléments subjectifs et objectifs de l’évaluation clinique ophtalmique, qui mettait en question la gravité de l’atteinte visuelle. Il n’était donc pas possible d’évaluer avec certitude dans quelle mesure la recourante présentait des limitations fonctionnelles. Une exclusion absolue d’une atteinte à la santé significative ne pouvait pas être retenue avec certitude. Néanmoins, la présence de causes organiques non détectées malgré un bilan extensif clinique et paraclinique paraissait peu probable.</w:t>
      </w:r>
    </w:p>
    <w:p>
      <w:r>
        <w:t>- 12/26-</w:t>
      </w:r>
    </w:p>
    <w:p>
      <w:r>
        <w:t>N° de procédure</w:t>
      </w:r>
    </w:p>
    <w:p>
      <w:r>
        <w:rPr>
          <w:b/>
        </w:rPr>
        <w:t>E. 34</w:t>
      </w:r>
    </w:p>
    <w:p>
      <w:r>
        <w:t>Le rapport d’expertise établi le 4 août 2021 par le Dr U______ contient un résumé du dossier médical de la recourante, une anamnèse comprenant l’histoire personnelle et médicale ainsi que la description de la vie quotidienne actuelle, une énumération des plaintes actuelles de la recourante et les constatations objectives de l’expert. Ce dernier n’a pas retenu de diagnostic avec répercussion sur la capacité de travail, au motif que son examen n’avait pas pu établir l’existence d’une atteinte psychiatrique pouvant expliquer les troubles visuels persistants dont se plaignait la recourante, à savoir une baisse de l’acuité visuelle et une mydriase avec ses conséquences fonctionnelles. Il a écarté le diagnostic de trouble dissociatif (ou de conversion) notamment au motif que, d’une part, ni le dossier ni son examen n’avaient mis en évidence de facteur de stress ayant pu déclencher la cécité et que, d’autre part, un tel diagnostic n’entrait pas en considération pour la mydriase bilatérale et ses conséquences du fait qu’il ne pouvait pas concerner la musculature relevant du système nerveux autonome. Il a également exclu le diagnostic de trouble factice parce que, d’une part, il n’était pas avéré que la recourante consommait des produits de type atropinique pour provoquer volontairement une mydriase et que, d’autre part, il n’avait pas d’arguments pour dire que la recourante recherchait assidûment le statut de malade avec un besoin de prestations médicales répétées. Dès lors, ne retenant pas de diagnostic psychiatrique avec répercussion sur la capacité de travail, il a considéré discutable la conclusion du Dr Q______ qui avait admis une incapacité de travail totale. Il a en revanche retenu le diagnostic sans répercussion sur la capacité de travail de probable stress post-traumatique (F43.1) après un viol à l’adolescence. L’atteinte était chronique, de degré modéré et sans relation avec les troubles visuels dont se plaignait la recourante.</w:t>
      </w:r>
    </w:p>
    <w:p>
      <w:r>
        <w:rPr>
          <w:b/>
        </w:rPr>
        <w:t>E. 35</w:t>
      </w:r>
    </w:p>
    <w:p>
      <w:r>
        <w:t>Selon l’appréciation consensuelle des experts, l’appréciation de l’acuité visuelle était avant tout subjective et dépendait de la volonté du sujet. Sur ce point, il existait des discordances entre les données subjectives et objectives, aussi bien lors de l’examen du Pr. H______ que lors de l’examen effectué dans le cadre de l’expertise. Cela entamait la fiabilité des résultats des examens pratiqués. Pour ce qui était de la mydriase bilatérale, qui contribuait fortement à la gêne visuelle fonctionnelle (flou et effet d’éblouissement), elle était due, selon toute vraisemblance, à l’effet d’une substance pharmacologique exogène que les experts n’avaient pas pu identifier. Au vu de ces constatations, les experts ne pouvaient pas retenir avec un degré de probabilité suffisant l’existence d’atteintes ophtalmologiques organiques ou psychiatriques expliquant les plaintes et par conséquent limitant objectivement la capacité de travail. La sévérité des troubles visuels n’avait pas pu être établie. Une observation en milieu compétent en matière de troubles neurologiques fonctionnels et pouvant contrôler l’apport de substances pharmacologiques exogènes pouvait peut-être contribuer à clarifier la nature et l’importance des atteintes.</w:t>
      </w:r>
    </w:p>
    <w:p>
      <w:r>
        <w:t>- 13/26-</w:t>
      </w:r>
    </w:p>
    <w:p>
      <w:r>
        <w:t>N° de procédure</w:t>
      </w:r>
    </w:p>
    <w:p>
      <w:r>
        <w:rPr>
          <w:b/>
        </w:rPr>
        <w:t>E. 36</w:t>
      </w:r>
    </w:p>
    <w:p>
      <w:r>
        <w:t>Par courrier du 5 octobre 2021, l’intimé a fait valoir que l’expertise bi-disciplinaire était probante, en s’appuyant sur l’avis médical du SMR du 27 septembre 2021. Celui-ci considérait en outre que les conclusions des experts étaient en accord avec la précédente appréciation du SMR. L’intimé a affirmé qu’en l’absence de diagnostic, posé dans les règles de l’art par des spécialistes, entravant les capacités de travail et de gain, la décision litigieuse devait être confirmée.</w:t>
      </w:r>
    </w:p>
    <w:p>
      <w:r>
        <w:rPr>
          <w:b/>
        </w:rPr>
        <w:t>E. 37</w:t>
      </w:r>
    </w:p>
    <w:p>
      <w:r>
        <w:t>Par courrier du 9 décembre 2021, la recourante a contesté la valeur probante de l’expertise bi-disciplinaire. Une nouvelle expertise bi-disciplinaire respectant les critères de l’ATF 141 V 281 devait être réalisée, subsidiairement les experts déjà nommés devaient compléter leurs expertises selon cette jurisprudence.</w:t>
      </w:r>
    </w:p>
    <w:p>
      <w:r>
        <w:rPr>
          <w:b/>
        </w:rPr>
        <w:t>E. 38</w:t>
      </w:r>
    </w:p>
    <w:p>
      <w:r>
        <w:t>Par courriers du 4 janvier 2022, la chambre de céans a remis à chacune des parties la détermination de l’autre.</w:t>
      </w:r>
    </w:p>
    <w:p>
      <w:r>
        <w:rPr>
          <w:b/>
        </w:rPr>
        <w:t>E. 39</w:t>
      </w:r>
    </w:p>
    <w:p>
      <w:r>
        <w:t>La cause a été gardée à juger le 7 février 2021.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Le délai de recours est de trente jours (art. 56 LPGA ; art. 62 al. 1 de la de loi sur la procédure administrative du 12 septembre 1985 [LPA - E 5 10]). Interjeté dans la forme et le délai prévus par la loi, compte tenu de la suspension des délais pour la période du 15 juillet au 15 août inclusivement (art. 38 al. 4 let. b LPGA et art. 89C let. b LPA), le recours est recevable (art. 56 ss LPGA et 62 ss LPA). 4. Le litige porte sur le droit de la recourante aux prestations de l’assurance-invalidité, notamment à une rente d'invalidité.</w:t>
      </w:r>
    </w:p>
    <w:p>
      <w:r>
        <w:t>- 14/26-</w:t>
      </w:r>
    </w:p>
    <w:p>
      <w:r>
        <w:t>N° de procédure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 ci n'est pas objectivement surmontable (al. 2 en vigueur dès le 1er janvier 2008). 6. Depuis le 1er janvier 2022, en vertu de l'art. 28b al. 3 LAI, l'assuré a droit à une rente entière s'il est invalide à 70% au moins. Il a droit à un quart de rente s'il est invalide à 40% (art. 28b al. 4 LAI). Pour un taux d’invalidité compris entre 50 et 69%, la quotité de la rente correspond au taux d’invalidité (art. 28b al. 2 LAI). Pour un taux d’invalidité inférieur à 50%, la quotité de la rente est dégressive de 2,5% d’une rente entière pour chaque pourcent inférieur de taux d’invalidité. Ainsi, avec un taux d’invalidité de 49%, la quotité de la rente est de 47,5% d’une rente entière ; avec un taux d’invalidité de 48%, elle est de 45%, et ainsi de suite jusqu’au quart de rente avec un taux d’invalidité de 40% (art. 28b al. 4 LAI). En vertu de l'art. 28 al. 2 LAI, en vigueur jusqu’au 31 décembre 2021,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7.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w:t>
      </w:r>
    </w:p>
    <w:p>
      <w:r>
        <w:t>- 15/26-</w:t>
      </w:r>
    </w:p>
    <w:p>
      <w:r>
        <w:t>N° de procédure diminutions de la capacité de gain que l'assuré pourrait empêcher en faisant preuve de bonne volonté ; la mesure de ce qui est exigible doit être déterminée aussi objectivement que possible (ATF 102 V 165 ; arrêt du Tribunal fédéral des assurances I 786/04 du 19 janvier 2006 consid. 3.1). En 2017,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(ATF 143 V 409 consid. 4.5 et ATF 143 V 418 consid. 6 et 7).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Il convient dorénavant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à l'aide des indicateurs suivants : a. Le point de départ est le degré de gravité minimal inhérent au diagnostic. Il doit être rendu vraisemblable compte tenu de l'étiologie et de la pathogenèse de la pathologie déterminante pour le diagnostic. Les constatations relatives aux manifestations concrètes de l'atteinte à la santé diagnostiquée permettent de distinguer les limitations fonctionnelles causées par cette atteinte de celles dues à des facteurs non assurés.</w:t>
      </w:r>
    </w:p>
    <w:p>
      <w:r>
        <w:t>- 16/26-</w:t>
      </w:r>
    </w:p>
    <w:p>
      <w:r>
        <w:t>N° de procédure b. Il convient encore d'examiner le succès du traitement et de la réadaptation ou la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c. La comorbidité psychique ne doit être prise en considération qu'en fonction de son importance concrète dans le cas d'espèce, par exemple pour juger si elle prive l'assuré de ressources. Il est nécessaire de procéder à une approche globale de l'influence du trouble psychique avec l'ensemble des pathologies concomitantes. Un trouble qui, selon la jurisprudence, ne peut pas être invalidant en tant que tel n'est pas une comorbidité, mais doit à la rigueur être pris en considération dans le cadre du diagnostic de la personnalité. d. Il convient ensuite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e. Si des difficultés sociales ont directement des conséquences fonctionnelles négatives, elles ne doivent pas être prises en considération. En revanche, le contexte de vie de l'assuré peut lui procurer des ressources mobilisables, par exemple par le biais de son réseau social. Il faut s'assurer qu'une incapacité de travail pour des raisons de santé ne se confond pas avec le chômage non assuré ou avec d'autres difficultés de vie. f. Il s'agit, encore, de se demander si l'atteinte à la santé limite l'assuré de manière semblable dans son activité professionnelle ou dans l'exécution de ses travaux habituels et dans les autres activités (par exemple, les loisirs). Le critère du retrait social se réfère non seulement aux limitations mais également aux ressources de l'assuré et à sa capacité à les mobiliser. Dans la mesure du possible, il convient de comparer le niveau d'activité sociale de l'assuré avant et après la survenance de l'atteinte à la santé.</w:t>
      </w:r>
    </w:p>
    <w:p>
      <w:r>
        <w:t>- 17/26-</w:t>
      </w:r>
    </w:p>
    <w:p>
      <w:r>
        <w:t>N° de procédure g. Il faut examiner ensuite la mesure dans laquelle les traitements sont mis à profit ou alors négligés, pour 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8. Le juge vérifie librement si l'expert médical a exclusivement tenu compte des déficits fonctionnels résultant de l'atteinte à la santé et si son évaluation de l'exigibilité repose sur une base objective.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et 141 V 281 consid. 2.2 et 3.2 ; arrêt du Tribunal fédéral 8C_841/2016 du 30 novembre 2017 consid. 4.5.2). Ce diagnostic doit être justifié médicalement de telle manière que les personnes chargées d'appliquer le droit puissent vérifier que les critères de classification ont été effectivement respectés. Il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difficultés décrites et le comportement observé, l'allégation d'intenses difficultés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(cf. ATF 131 V 49 consid. 1.2). En l'absence de diagnostic psychiatrique, une appréciation en fonction de la grille d'évaluation normative et structurée selon l'ATF 141 V 281 n'a pas à être effectuée (arrêt du Tribunal fédéral 9C_176/2018 du 16 août 2018 consid. 3.2.2). 9. a. La plupart des éventualités assurées (par exemple la maladie, l'accident, l'incapacité de travail, l'invalidité, l'atteinte à l'intégrité physique ou mentale)</w:t>
      </w:r>
    </w:p>
    <w:p>
      <w:r>
        <w:t>- 18/26-</w:t>
      </w:r>
    </w:p>
    <w:p>
      <w:r>
        <w:t>N° de procédure supposent l'instruction de faits d'ordre médical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10. Sans remettre en cause le principe de la libre appréciation des preuves, le Tribunal fédéral des assurances a posé des lignes directrices en ce qui concerne la manière d'apprécier certains types d'expertises ou de rapports médicaux. a.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w:t>
      </w:r>
    </w:p>
    <w:p>
      <w:r>
        <w:t>- 19/26-</w:t>
      </w:r>
    </w:p>
    <w:p>
      <w:r>
        <w:t>N° de procédure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arrêt du Tribunal fédéral 9C_301/2013 du 4 septembre 2013 consid. 3). b.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d.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w:t>
      </w:r>
    </w:p>
    <w:p>
      <w:r>
        <w:t>- 20/26-</w:t>
      </w:r>
    </w:p>
    <w:p>
      <w:r>
        <w:t>N° de procédure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Le but d'une expertise pluridisciplinaire est d'apprécier toutes les atteintes à la santé et leurs conséquences sur la capacité de travail (ATF 137 V 210). Toutefois, il est parfois difficile de distinguer les atteintes à la santé des facteurs étrangers à l'invalidité. Dans ce cadre, l'appréciation globale et consensuelle des experts ayant participé à l'expertise est souhaitable, sans être obligatoire. De même, le fait qu'une partie de l'expertise pluridisciplinaire ne soit pas convaincante ne signifie pas nécessairement que toute l'expertise ait perdu toute valeur probante. Une expertise pluridisciplinaire peut avoir une pleine valeur probante malgré l’absence de rapport consensuel final des experts (arrêt du Tribunal fédéral 8C_747/2016 du 21 mars 2017). 11.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12.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w:t>
      </w:r>
    </w:p>
    <w:p>
      <w:r>
        <w:t>- 21/26-</w:t>
      </w:r>
    </w:p>
    <w:p>
      <w:r>
        <w:t>N° de procédure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13. En l’espèce, il convient de déterminer en premier lieu la valeur probante de l’expertise judiciaire bi-disciplinaire qui a fait l’objet de plusieurs critiques de la part de la recourante. a. La recourante estime que, si l’experte ophtalmologique exclut l’existence d’une origine organique de la cécité, elle ne met pas pour autant en doute les déclarations de la recourante quant à l’existence d’une importante atteinte visuelle. Elle ajoute que les deux experts excluent l’existence de toute simulation de la recourante et qu’ils concluent à l’existence d’un trouble visuel d’origine non-organique fonctionnel. La chambre de céans constate que l’experte ophtalmologique a relevé une discordance entre les éléments subjectifs et objectifs de l’évaluation clinique ophtalmique, qui mettait en question la gravité de l’atteinte visuelle. L’importante atteinte visuelle qu’invoque la recourante n’a dès lors pas été confirmée par l’expertise ophtalmologique, qui retient plutôt qu’il n’a pas été possible d’évaluer avec certitude dans quelle mesure la recourante présentait des limitations fonctionnelles. Similairement, dans leur appréciation consensuelle, les experts ont conclu qu’ils ne pouvaient pas retenir avec un degré de probabilité suffisant l’existence d’atteintes ophtalmologiques organiques ou psychiatriques expliquant les plaintes et par conséquent limitant objectivement la capacité de travail. La sévérité des troubles visuels n’avait pas pu être établie. Il en résulte que la lecture de l’expertise bidisciplinaire que la recourante propose ne correspond pas au texte et au sens des rapports d’expertise : les experts ont discuté la question de savoir si la recourante souffrait d’une importante atteinte visuelle mais ils n’ont pas confirmé celle-ci, ne retenant finalement aucun diagnostic avec répercussion sur la capacité de travail. b. La recourante considère que les experts auraient dû apprécier son cas selon la grille d’évaluation résultant de l'ATF 141 V 281.</w:t>
      </w:r>
    </w:p>
    <w:p>
      <w:r>
        <w:t>- 22/26-</w:t>
      </w:r>
    </w:p>
    <w:p>
      <w:r>
        <w:t>N° de procédure Contrairement à ce que soutient la recourante, son cas n'avait pas à être examiné à l'aune de l'ATF 141 V 281. Il appartient effectivement au médecin de retenir - ou non - le diagnostic en fonction de critères médicaux et non jurisprudentiels (cf. ATF 141 V 281 consid. 2.1 p. 285 et la référence) et au juge d'en évaluer le caractère invalidant au regard des indicateurs développés par la jurisprudence (cf. ATF 141 V 281 consid. 2.1.1 in initio p. 285). En l'absence de diagnostic psychiatrique, une appréciation en fonction de la grille d'évaluation normative et structurée selon l'arrêt cité n'a pas à être effectuée. c. Selon la recourante, les experts ont recommandé des traitements et investigations complémentaires, soit, en ce qui concerne le volet psychique, un traitement psychiatrique pour l’état de stress post-traumatique et, en ce qui concerne l’aspect ophtalmologique, une évaluation dans un service de basse vision, une évaluation pour une réadaptation professionnelle et un essai de traitement par pilocarpine 2% pendant une période de surveillance. Elle est d’avis que les conclusions de l’expertise doivent être revues une fois ces mesures d’investigation supplémentaires réalisées. Le rapport d’expertise psychiatrique indique que la recourante peut faire appel à une démarche psychothérapeutique spécialisée, ciblée sur l’état de stress post- traumatique, si elle le souhaite. Un tel traitement est peut-être souhaitable et pourrait contribuer à améliorer le sommeil de la recourante, mais il n’est pas nécessaire et n’aurait pas d’impact sur la capacité de travail, étant donné que l’état de stress post-traumatique n’a pas de répercussions sur celle-ci. La réticence de la recourante à s’engager dans un tel traitement est au demeurant décrite comme compréhensible et légitime. En revanche, quant aux symptômes visuels, en l’absence de participation psychiatrique établie, un traitement psychiatrique n’apparaît pas utile. Dans ce contexte, un traitement psychiatrique pour le stress post-traumatique n’est pas susceptible de modifier les conclusions de l’expertise psychiatrique. Le rapport d’expertise ophtalmologique énonce qu’il n’y a pas de traitement spécifique qui pourrait être appliqué au cas de la recourante. En outre, la présence de causes organiques non détectées malgré un bilan extensif clinique et paraclinique paraît peu probable. L’évaluation dans un service de basse vision, l’évaluation pour une réadaptation professionnelle et l’essai de traitement par pilocarpine 2% pendant une période de surveillance ont été mentionnés par l’experte à titre éventuel, dans la mesure où la discordance relevée entre les éléments subjectifs et objectifs de l’évaluation clinique ophtalmique mettait en question la gravité de l’atteinte visuelle et il n’avait pas été possible d’évaluer avec certitude dans quelle mesure la recourante présentait des limitations fonctionnelles.</w:t>
      </w:r>
    </w:p>
    <w:p>
      <w:r>
        <w:t>- 23/26-</w:t>
      </w:r>
    </w:p>
    <w:p>
      <w:r>
        <w:t>N° de procédure Dès lors, les évaluations et traitement auxquels se réfère la recourante ne sont pas susceptibles de modifier les conclusions de l’expertise ophtalmologique. De même, dans leur appréciation consensuelle, les experts n’indiquent pas la nécessité de traitements ou d’évaluations complémentaires, le mandat d’expertise les autorisant au demeurant à les ordonner eux-mêmes si nécessaire. Une observation en milieu compétent en matière de troubles neurologiques fonctionnels et pouvant contrôler l’apport de substances pharmacologiques exogènes pouvait peut-être contribuer à clarifier la nature et l’importance des atteintes. Elle a toutefois été indiquée à titre éventuel uniquement, notamment pour confirmer l’origine selon toute vraisemblance exogène, mais que les experts n’avaient pas pu identifier, de la mydriase bilatérale. Cela étant, les conclusions de l’expertise bi- disciplinaire, selon lesquelles les experts n’ont pas pu retenir avec un degré de probabilité suffisant l’existence d’atteintes ophtalmologiques organiques ou psychiatriques expliquant les plaintes et par conséquent limitant objectivement la capacité de travail en raison notamment de discordances entre les données subjectives et objectives au sujet de l’acuité visuelle, demeurent. Elles ne sont pas susceptibles d’être affectées par les investigations ou traitements complémentaires auxquels se réfère la recourante. d. Pour le surplus, l’expertise bi-disciplinaire répond formellement à tous les réquisits exigés par la jurisprudence pour se voir reconnaître une pleine valeur probante. 14. Les experts n’ont pas pu retenir avec un degré de probabilité suffisant l’existence d’atteintes ophtalmologiques organiques ou psychiatriques expliquant les plaintes et par conséquent limitant objectivement la capacité de travail. Il en résulte que la recourante ne remplit pas la condition d’une incapacité de travail de 40% au moins pendant un an, au sens des art. 28 al. 1 et 29 al. 1 LAI, qui pourrait lui ouvrir le droit à une rente d’invalidité. 15. Mal fondé, le recours doit être rejeté. Un émolument de CHF 200.- est mis à la charge de la recourante (art. 69 al. 1bis LAI). 16. A l’ATF 137 V 210 consid. 4.4.2, le Tribunal fédéral a indiqué que les frais qui découlaient de la mise en œuvre d'une expertise médicale judiciaire mono-, bi- ou pluridisciplinaire pouvaient le cas échéant être mis à la charge d'un assureur social. En effet, lorsque l'autorité judiciaire de première instance décidait de confier la réalisation d'une expertise judiciaire pluridisciplinaire à un ou plusieurs experts ou à un centre d'expertise parce qu'elle estimait que l'instruction menée par l'autorité administrative était insuffisante (au sens du consid. 4.4.1.4 de l'ATF 137 V 210), elle intervenait dans les faits en lieu et place de l'autorité administrative qui aurait</w:t>
      </w:r>
    </w:p>
    <w:p>
      <w:r>
        <w:t>- 24/26-</w:t>
      </w:r>
    </w:p>
    <w:p>
      <w:r>
        <w:t>N° de procédure dû, en principe, mettre en œuvre cette mesure d'instruction dans le cadre de la procédure administrative. Dans ces conditions, les frais de l'expertise ne constituaient pas des frais de justice, mais des frais relatifs à la procédure administrative au sens de l'art. 45 LPGA qui devaient être pris en charge par l'assureur social (ATF 137 V 210 consid. 4.4). Cette règle, qu'il convient également d'appliquer, dans son principe, aux expertises judiciaires mono- et bidisciplinaires (cf. ATF 139 V 349 consid. 5.4), ne saurait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mots, il doit exister un lien entre les défauts de l'instruction administrative et la nécessité de mettre en œuvre une expertise judiciaire (ATF 137 V 210 consid. 4.4.2). Tel est notamment le cas lorsque l'autorité administrative a laissé subsister, sans la lever par des explications objectivement fondées, une contradiction manifeste entre les différents points de vue médicaux rapportés au dossier (ATF 135 V 465 consid. 4.4; voir également ATF 139 V 225 consid. 4 et arrêt du Tribunal fédéral 8C_71/2013 du 27 juin 2013 consid. 2), lorsqu'elle a laissé ouverte une ou plusieurs questions nécessaires à l'appréciation de la situation médicale ou lorsqu'elle a pris en considération une expertise qui ne remplissait manifestement pas les exigences jurisprudentielles relatives à la valeur probante de ce genre de documents (ATF 125 V 351 consid. 3a). En revanche, lorsque l'autorité administrative a respecté le principe inquisitoire et fondé son opinion sur des éléments objectifs convergents ou sur les conclusions d'une expertise qui répondait aux réquisits jurisprudentiels, la mise à sa charge des frais d'une expertise judiciaire ordonnée par l'autorité judiciaire de première instance, pour quelque motif que ce soit (à la suite par exemple de la production de nouveaux rapports médicaux ou d'une expertise privée), ne saurait se justifier (ATF 134 V 496 consid. 4.4; arrêt du Tribunal fédéral 9C_803/2013 du 13 février 2014 consid. 4.1). 17. En l’occurrence, dans son rapport d’expertise du 15 décembre 2017, le Dr Q______ a considéré qu’il n’existait pas, au jour de l’expertise et en l’état, de diagnostic certain, ni somatique, ni psychiatrique, et il convenait de surveiller et de réévaluer la situation. Cela étant, le déficit sensoriel de la vision était une réalité clinique incontestable, objectivée à plusieurs reprises dans le dossier et corroborée lors de l’entretien d’expertise. Tout en ne retenant pas de diagnostic psychiatrique avec répercussion sur la capacité de travail, le Dr Q______ admettait une incapacité de travail totale. Dans ces circonstances, le SMR ne pouvait, sans effectuer d'acte d'instruction complémentaire, estimer que l'instruction du dossier permettait de statuer en pleine connaissance de cause, et retenir qu’il n’existait pas d’atteinte à la santé incapacitante au sens de l’AI. La décision contestée reposait sur une</w:t>
      </w:r>
    </w:p>
    <w:p>
      <w:r>
        <w:t>- 25/26-</w:t>
      </w:r>
    </w:p>
    <w:p>
      <w:r>
        <w:t>N° de procédure instruction insuffisante pour permettre à la chambre de céans de trancher le litige, même sous l'angle de la vraisemblance prépondérante. Les frais de l'expertise judiciaire doivent par conséquent être pris en charge par l'intimé. ***</w:t>
      </w:r>
    </w:p>
    <w:p>
      <w:r>
        <w:t>- 26/26-</w:t>
      </w:r>
    </w:p>
    <w:p>
      <w:r>
        <w:t>N° de procédure PAR CES MOTIFS, LA CHAMBRE DES ASSURANCES SOCIALES : Statuant</w:t>
      </w:r>
    </w:p>
    <w:p>
      <w:r>
        <w:t>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