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ATAS/222/2018 vom 8. März 2018</w:t>
      </w:r>
    </w:p>
    <w:p>
      <w:r>
        <w:t>GE Cour de justice, 2018-03-08, FR</w:t>
      </w:r>
    </w:p>
    <w:p>
      <w:r>
        <w:rPr>
          <w:b/>
        </w:rPr>
        <w:t xml:space="preserve">Quelle: </w:t>
      </w:r>
      <w:r>
        <w:t>https://mcp.opencaselaw.ch/entscheid/ge_gerichte_ATAS_222_2018</w:t>
      </w:r>
    </w:p>
    <w:p>
      <w:r>
        <w:t>FR: GE_GERICHTE ATAS/222/2018 du 8 mars 2018</w:t>
      </w:r>
    </w:p>
    <w:p>
      <w:r>
        <w:t>IT: GE_GERICHTE ATAS/222/2018 del 8 marzo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a) Au niveau fédéral, la LAFam et l’ordonnance du Conseil fédéral sur les allocations familiales du 31 octobre 2007 - entrée en vigueur le 1er janvier 2009 - (OAFam - RS 836.21) sont applicables, étant précisé qu’aux termes de l’art. 1 LAFam, la loi fédérale du 6 octobre 2000 sur la partie générale du droit des assurances sociales (LPGA - RS 830.1) s’applique également, à moins que la LAFam n’y déroge. b) Sont également applicables, au niveau cantonal, la loi sur les allocations familiales du 1er mars 1996 (LAF - RS GE J 5 10), ainsi que le règlement d’exécution de ladite loi, en vigueur depuis le 1er janvier 2009 (RAF - RS GE J 5 10.01). Conformément à l’art. 2B LAF, les prestations sont régies par la LAF et ses dispositions d’exécution, ainsi que par la LAFam, la LPGA et la loi fédérale sur l'assurance-vieillesse et survivants (LAVS - RS 831.10), dans la mesure où la LAFam ou la LAF y renvoient.</w:t>
      </w:r>
    </w:p>
    <w:p>
      <w:r>
        <w:rPr>
          <w:b/>
        </w:rPr>
        <w:t>E. 3</w:t>
      </w:r>
    </w:p>
    <w:p>
      <w:r>
        <w:t>Se pose en premier lieu la question de la recevabilité du recours, contestée par l’intimée, qui soutient que la décision du 29 août 2017 est réputée avoir été notifiée régulièrement le 30 août 2017 à la recourante, à la dernière adresse connue de celle- ci.</w:t>
      </w:r>
    </w:p>
    <w:p>
      <w:r>
        <w:rPr>
          <w:b/>
        </w:rPr>
        <w:t>E. 4</w:t>
      </w:r>
    </w:p>
    <w:p>
      <w:r>
        <w:t>La notification irrégulière d'une décision ne doit entraîner aucun préjudice pour les parties (art. 38 PA). Cependant, la jurisprudence n'attache pas nécessairement la</w:t>
      </w:r>
    </w:p>
    <w:p>
      <w:r>
        <w:t>A/4083/2017 - 5/7 -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w:t>
      </w:r>
    </w:p>
    <w:p>
      <w:r>
        <w:rPr>
          <w:b/>
        </w:rPr>
        <w:t>E. 5</w:t>
      </w:r>
    </w:p>
    <w:p>
      <w:r>
        <w:t>En l’occurrence, il ressort des pièces du dossier que la décision du 29 août 2017 a été envoyée à la recourante à son ancienne adresse. Une distribution infructueuse a été tentée le 30 août, ensuite de quoi le courrier a été renvoyé à son expéditeur avec la mention « A déménagé ». La caisse l’a alors renvoyé à la recourante à sa nouvelle adresse, par pli simple du 11 septembre 2017, en l’avisant qu’elle considérait la décision comme notifiée le 30 août 2017. Contrairement à ce que soutient l’intimée, celle-ci ne pouvait ignorer la nouvelle adresse de la recourante, comme le démontre d’ailleurs le fait qu’elle ait correctement notifié la décision incidente du 6 octobre 2016. Dans ces circonstances, l’intimée ne saurait se défausser en se prévalant du fait que l’arrêt rendu par la Cour mentionnait par erreur l’ancienne adresse de l’assurée - alors même que les courriers de la procédure lui avaient été envoyés à la nouvelle. La notification étant irrégulière, il n’y a pas lieu de faire supporter l’erreur de l’intimée à la recourante. Le recours est dès lors recevable.</w:t>
      </w:r>
    </w:p>
    <w:p>
      <w:r>
        <w:rPr>
          <w:b/>
        </w:rPr>
        <w:t>E. 6</w:t>
      </w:r>
    </w:p>
    <w:p>
      <w:r>
        <w:t>Quant au fond, l’objet du litige se limite à la question du bien-fondé de la demande en restitution. En effet, la question de savoir si la recourante pouvait ou non se voir reconnaître le droit à une allocation de formation pour B______ a d’ores et déjà fait l’objet d’une décision formelle en date du 29 juillet 2016, décision entrée en force faute d’avoir été contestée valablement. Il n’y a dès lors pas lieu d’y revenir ici. Cela équivaudrait à vider de leur sens les règles sur la recevabilité des recours.</w:t>
      </w:r>
    </w:p>
    <w:p>
      <w:r>
        <w:rPr>
          <w:b/>
        </w:rPr>
        <w:t>E. 7</w:t>
      </w:r>
    </w:p>
    <w:p>
      <w:r>
        <w:t>a)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w:t>
      </w:r>
    </w:p>
    <w:p>
      <w:r>
        <w:t>A/4083/2017 - 6/7 -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Lorsque le versement indu résulte d'une violation de l'obligation de renseigner (art. 31 LPGA et 36 LAF)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b) Sur le plan cantonal, l’art. 12 al. 2 LAF dispose que les allocations perçues sans droit doivent être restituées. À l’instar de l’art. 25 al. 2, 1ère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w:t>
      </w:r>
    </w:p>
    <w:p>
      <w:r>
        <w:rPr>
          <w:b/>
        </w:rPr>
        <w:t>E. 8</w:t>
      </w:r>
    </w:p>
    <w:p>
      <w:r>
        <w:t>En l’espèce, l’interruption par B______ du cursus de formation ordinaire constituait un fait nouveau conduisant à une appréciation juridique différente. En outre, en rendant sa décision de restitution le 27 juillet 2016, soit moins d’une année après la décision du 10 août 2015 constatant que le cursus suivi par l’enfant à compter de l’année scolaire 2014-2015 ne pouvait être considéré comme une formation au sens légal, l’intimée a agi en temps utile. Compte tenu de ce qui précède, la décision sur opposition du 29 août 2017 ne prête pas le flanc à la critique. Le recours doit par conséquent être rejeté.</w:t>
      </w:r>
    </w:p>
    <w:p>
      <w:r>
        <w:t>A/4083/2017 - 7/7 -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