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ATAS/222/2014 vom 30. April 2009</w:t>
      </w:r>
    </w:p>
    <w:p>
      <w:r>
        <w:t>GE Cour de justice, 2009-04-30, FR</w:t>
      </w:r>
    </w:p>
    <w:p>
      <w:r>
        <w:rPr>
          <w:b/>
        </w:rPr>
        <w:t xml:space="preserve">Quelle: </w:t>
      </w:r>
      <w:r>
        <w:t>https://mcp.opencaselaw.ch/entscheid/ge_gerichte_ATAS_222_2014</w:t>
      </w:r>
    </w:p>
    <w:p>
      <w:r>
        <w:t>FR: GE_GERICHTE ATAS/222/2014 du 30 avril 2009</w:t>
      </w:r>
    </w:p>
    <w:p>
      <w:r>
        <w:t>IT: GE_GERICHTE ATAS/222/2014 del 30 aprile 2009</w:t>
      </w:r>
    </w:p>
    <w:p>
      <w:pPr>
        <w:pStyle w:val="Heading2"/>
      </w:pPr>
      <w:r>
        <w:t>Erwägungen</w:t>
      </w:r>
    </w:p>
    <w:p>
      <w:r>
        <w:rPr>
          <w:b/>
        </w:rPr>
        <w:t>E. 1</w:t>
      </w:r>
    </w:p>
    <w:p>
      <w:r>
        <w:t>Reprend la procédure.</w:t>
      </w:r>
    </w:p>
    <w:p>
      <w:r>
        <w:rPr>
          <w:b/>
        </w:rPr>
        <w:t>E. 2</w:t>
      </w:r>
    </w:p>
    <w:p>
      <w:r>
        <w:t>Fixe un délai au 11 mars 2014 au recourant pour indiquer s’il maintient son recours.</w:t>
      </w:r>
    </w:p>
    <w:p>
      <w:r>
        <w:rPr>
          <w:b/>
        </w:rPr>
        <w:t>E. 3</w:t>
      </w:r>
    </w:p>
    <w:p>
      <w:r>
        <w:t>Réserve la suite de la procédure.</w:t>
      </w:r>
    </w:p>
    <w:p>
      <w:r>
        <w:rPr>
          <w:b/>
        </w:rPr>
        <w:t>E. 4</w:t>
      </w:r>
    </w:p>
    <w:p>
      <w:r>
        <w:t>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