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ATAS/222/2010 vom 20. April 2009</w:t>
      </w:r>
    </w:p>
    <w:p>
      <w:r>
        <w:t>GE Cour de justice, 2009-04-20, FR</w:t>
      </w:r>
    </w:p>
    <w:p>
      <w:r>
        <w:rPr>
          <w:b/>
        </w:rPr>
        <w:t xml:space="preserve">Quelle: </w:t>
      </w:r>
      <w:r>
        <w:t>https://mcp.opencaselaw.ch/entscheid/ge_gerichte_ATAS_222_2010</w:t>
      </w:r>
    </w:p>
    <w:p>
      <w:r>
        <w:t>FR: GE_GERICHTE ATAS/222/2010 du 20 avril 2009</w:t>
      </w:r>
    </w:p>
    <w:p>
      <w:r>
        <w:t>IT: GE_GERICHTE ATAS/222/2010 del 20 aprile 2009</w:t>
      </w:r>
    </w:p>
    <w:p>
      <w:pPr>
        <w:pStyle w:val="Heading2"/>
      </w:pPr>
      <w:r>
        <w:t>Erwägungen</w:t>
      </w:r>
    </w:p>
    <w:p>
      <w:r>
        <w:rPr>
          <w:b/>
        </w:rPr>
        <w:t>E. 1</w:t>
      </w:r>
    </w:p>
    <w:p>
      <w:r>
        <w:t>Est litigieuse la compétence ratione materiae du Tribunal arbitral des assurances.</w:t>
      </w:r>
    </w:p>
    <w:p>
      <w:r>
        <w:rPr>
          <w:b/>
        </w:rPr>
        <w:t>E. 2</w:t>
      </w:r>
    </w:p>
    <w:p>
      <w:r>
        <w:t>Selon l'art. 89 al. 1 de la loi fédérale sur l'assurance-maladie, du 18 mars 1994 (LAMal ; RS 832.10), les litiges entre assureurs et fournisseurs de prestations sont jugés par le tribunal arbitral des assurances. Cette juridiction est aussi compétente si le débiteur de la rémunération est l'assuré (système du tiers garant). Dans ce cas, l'assureur représente à ses frais l'assuré au procès, selon l'art. 89 al. 3 LAMal. Les dispositions légales qui déterminent la compétence du Tribunal arbitral constituent une lex specialis par rapport à celles réglant la compétence du Tribunal cantonal des assurances, et elles ont à ce titre la priorité (ATF 127 V 467 consid. 1). La loi et son ordonnance ne définissent pas précisément ce qu'il faut entendre par litige au sens de la disposition précitée. La notion de litige doit toutefois être entendue dans un sens large, à moins que celui-ci ne porte spécifiquement sur l'approbation d'une convention tarifaire ou sur la modification sujette à approbation d'une convention (arrêt du Tribunal fédéral des assurances sociales K 92/01 du 27 décembre 2001 et références citées). La compétence matérielle du tribunal arbitral présuppose que le litige ait pour objet des relations juridiques fondées sur la LAMal ou qui ont été établies en vertu de cette loi. L'objet du litige doit en outre concerner la position particulière de l'assureur ou du fournisseur de prestations dans le cadre de la LAMal. Afin de déterminer si un litige touche la position particulière de l'assureur ou du prestataire par rapport à la LAMal, il convient de déterminer en quelle fonction les parties s'opposent en réalité (ATF 132 V 303 consid. 4.1; RAMA 2004 298 p. 301 consid. 2.2). Cela peut également être déduit de l'art. 89 al.</w:t>
      </w:r>
    </w:p>
    <w:p>
      <w:r>
        <w:rPr>
          <w:b/>
        </w:rPr>
        <w:t>E. 3</w:t>
      </w:r>
    </w:p>
    <w:p>
      <w:r>
        <w:t>a) En l'espèce, il n'est pas contesté que le litige oppose un fournisseur de prestations à un assureur. De surcroît, en vertu de l'art. 89 al. 3 LAMal précité, le Tribunal de céans est aussi compétent si le débiteur de la rémunération est l'assuré. En pareil cas, c'est l'assureur qui représente à ses frais l'assuré au procès. Par ailleurs, les prestations litigieuses sont à la charge de l'assurance obligatoire des soins. En effet, les organisations de soins et d'aide à domicile sont admises en tant que personnes prodiguant des soins sur prescriptions médicale, au sens de l'art. 35 al. 2 let. e LAMal, en application des art. 51 de l'ordonnance sur l'assurance-</w:t>
      </w:r>
    </w:p>
    <w:p>
      <w:r>
        <w:t>A/3624/2009 - 8/10 - maladie, du 27 juin 1995 (OAMal ; RS 832.102) et 7 al. 1 let. b de l'ordonnance du DFI sur les prestations dans l’assurance obligatoire des soins en cas de maladie, du 29 septembre 1995 (ordonnance sur les prestations de l’assurance des soins, OPAS ; RS 832.112.31). Dès lors que l'assureur-maladie intervient dans le cadre du système garant, il convient encore d'examiner si le litige concerne la position particulière du fournisseur de prestation. Cela doit être incontestablement admis en l'espèce, en vertu de la jurisprudence précitée, dès lors qu'est essentiellement litigieuse la question du tarif applicable aux soins fournis par la demanderesse. b) Il convient de relever enfin que le Tribunal administratif, fonctionnant en tant que Tribunal arbitral des assurances, s'est toujours déclaré compétent dans les litiges opposant la demanderesse à différents assureurs-maladie au sujet de la facturation de ses prestations (cf. arrêts du 28 février 2002 rendu dans la cause A/545/2001-ARBIT, du 19 février 2002 dans la cause A/588/2001-ARBIT, du 15 septembre 1999 dans les causes A/338/1997-ARBIT, A/339/1997/ARBIT, A/340/1997/ARBIT et A/341/1997-ARBIT). c) La défenderesse se prévaut enfin de ce que le Tribunal cantonal des assurances sociales n'aurait pas décliné sa compétence dans deux procédures pendantes devant lui, opposant un fournisseur de prestations à un assureur-maladie, suite à la cession de la créance en remboursement de la prestation par l'assuré au prestataire. Il convient cependant de rappeler que dans une telle hypothèse cette juridiction peut être compétente, si le litige concerne essentiellement les relations entre l'assuré et l'assureur-maladie et non pas la position particulière du fournisseur de prestation. d) Au vu de ce qui précède, il sied de constater que la présente cause constitue un litige au sens de l'art. 89 al. 1 et 3 LAMal, de sorte que le Tribunal de céans est compétent. Il s'ensuit que les décisions du 20 avril et du 25 novembre 2009 de la défenderesse sont nulles. Celle-ci aurait dû inviter la demanderesse à saisir le Tribunal de céans, au lieu de rendre des décisions formelles.</w:t>
      </w:r>
    </w:p>
    <w:p>
      <w:r>
        <w:rPr>
          <w:b/>
        </w:rPr>
        <w:t>E. 4</w:t>
      </w:r>
    </w:p>
    <w:p>
      <w:r>
        <w:t>Quant à la compétence ratione loci, elle est réglée par l'art. 89 al. 2 LAMal, aux termes duquel est compétent le tribunal arbitral du canton dont le tarif est appliqué ou du canton dans lequel le fournisseur de prestations est installé à titre permanent. La demanderesse ayant son siège dans le canton de Genève, la compétence du Tribunal de céans doit être aussi admise en raison du lieu.</w:t>
      </w:r>
    </w:p>
    <w:p>
      <w:r>
        <w:rPr>
          <w:b/>
        </w:rPr>
        <w:t>E. 5</w:t>
      </w:r>
    </w:p>
    <w:p>
      <w:r>
        <w:t>La défenderesse soulève également l'incident de litispendance.</w:t>
      </w:r>
    </w:p>
    <w:p>
      <w:r>
        <w:t>A/3624/2009 - 9/10 - Selon une jurisprudence constante du Tribunal fédéral, le juge doit examiner d'office les exigences formelles d'une procédure et notamment la question de savoir si la même cause est déjà pendante devant une autre juridiction (ATF 125 V 345 consid. 1a p. 347). La question de la force de chose jugée matérielle d'un jugement pour des causes entamées ultérieurement est une question de droit fédéral (ibidem consid. 1b). En l'espèce, le recours contre la décision sur opposition du 25 novembre 2009 a été interjeté postérieurement à la présente demande qui a été déposée le 9 octobre 2009. Partant, la défenderesse ne saurait se prévaloir de l'exception de la litispendance.</w:t>
      </w:r>
    </w:p>
    <w:p>
      <w:r>
        <w:rPr>
          <w:b/>
        </w:rPr>
        <w:t>E. 6</w:t>
      </w:r>
    </w:p>
    <w:p>
      <w:r>
        <w:t>Au vu de ce qui précède, le Tribunal de céans se déclare compétent et rejette les incidents soulevés.</w:t>
      </w:r>
    </w:p>
    <w:p>
      <w:r>
        <w:rPr>
          <w:b/>
        </w:rPr>
        <w:t>E. 7</w:t>
      </w:r>
    </w:p>
    <w:p>
      <w:r>
        <w:t>Il convient par ailleurs de constater que la demande respecte les exigences de formes prescrites par les art. 64 al. 1 et 65 de la loi sur la procédure administrative, du 12 septembre 1985 (LPA ; RS E 5 10). Elle est dès lors recevable.</w:t>
      </w:r>
    </w:p>
    <w:p>
      <w:r>
        <w:rPr>
          <w:b/>
        </w:rPr>
        <w:t>E. 8</w:t>
      </w:r>
    </w:p>
    <w:p>
      <w:r>
        <w:t>La défenderesse qui succombe sera condamnée aux frais du Tribunal de 1937 fr. Elle sera également condamnée à payer à la demanderesse la somme de 500 fr. à titre de participation à ses frais et dépens.</w:t>
      </w:r>
    </w:p>
    <w:p>
      <w:r>
        <w:t>A/3624/2009 - 10/10 -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