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ATAS/221/2021 vom 16. März 2021</w:t>
      </w:r>
    </w:p>
    <w:p>
      <w:r>
        <w:t>GE Cour de justice, 2021-03-16, FR</w:t>
      </w:r>
    </w:p>
    <w:p>
      <w:r>
        <w:rPr>
          <w:b/>
        </w:rPr>
        <w:t xml:space="preserve">Quelle: </w:t>
      </w:r>
      <w:r>
        <w:t>https://mcp.opencaselaw.ch/entscheid/ge_gerichte_ATAS_221_2021</w:t>
      </w:r>
    </w:p>
    <w:p>
      <w:r>
        <w:t>FR: GE_GERICHTE ATAS/221/2021 du 16 mars 2021</w:t>
      </w:r>
    </w:p>
    <w:p>
      <w:r>
        <w:t>IT: GE_GERICHTE ATAS/221/2021 del 16 marzo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t>A/2195/2020 - 5/9 -</w:t>
      </w:r>
    </w:p>
    <w:p>
      <w:r>
        <w:rPr>
          <w:b/>
        </w:rPr>
        <w:t>E. 3</w:t>
      </w:r>
    </w:p>
    <w:p>
      <w:r>
        <w:t>Interjeté dans les forme et délai prévus par la loi, le recours est recevable (art. 56 et 60 LPGA).</w:t>
      </w:r>
    </w:p>
    <w:p>
      <w:r>
        <w:rPr>
          <w:b/>
        </w:rPr>
        <w:t>E. 4</w:t>
      </w:r>
    </w:p>
    <w:p>
      <w:r>
        <w:t>Au vu de la décision attaquée et du recours, le litige porte sur l’invalidité du recourant et de son droit à des mesures de réadaptation de l’assurance-invalidité.</w:t>
      </w:r>
    </w:p>
    <w:p>
      <w:r>
        <w:rPr>
          <w:b/>
        </w:rPr>
        <w:t>E. 5</w:t>
      </w:r>
    </w:p>
    <w:p>
      <w:r>
        <w:t>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rPr>
          <w:b/>
        </w:rPr>
        <w:t>E. 8</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 prestation dont il est question doit remplir les conditions de simplicité et d’adéquation, ce qui suppose qu’elle soit propre à atteindre le but fixé par la loi et apparaisse nécessaire et suffisante à cette fin. Il doit par ailleurs exister un rapport raisonnable entre le coût et l’utilité de la prestation compte tenu de l’ensemble des circonstances de fait et de droit du cas particulier (ATF 132 V 215 consid. 3.2.2 p. 221 et les références ; Ulrich MEYER-BLASER, Zum Verhältnismässigkeitsgrundsatz im staatlichen Leistungsrecht, 1985, p. 82 ss et 123 ss). Quant à la condition de l’invalidité exprimée par l’art. 8 al. 1 LAI, elle doit être interprétée au regard des art. 8 LPGA et 4 LAI et définie, compte tenu du contexte de réadaptation, en fonction de la mesure requise (cf. Ulrich MEYER, Bundesgesetz über die Invalidenversicherung, 3ème éd. 2014, ad art. 8 LAI p. 95). b/aa. Aux termes de l’art. 17 LAI, l’assuré a droit au reclassement dans une nouvelle profession si son invalidité rend cette mesure nécessaire et que sa capacité de gain peut ainsi, selon toute vraisemblance, être maintenue ou améliorée (al. 1er).</w:t>
      </w:r>
    </w:p>
    <w:p>
      <w:r>
        <w:t>A/2195/2020 - 6/9 -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ailleurs, comme mentionné précédemment, seule une perte de gain de 20 % environ ouvre en principe droit à une mesure de reclassement dans une nouvelle profession (ATF 124 V 108 consid. 2b et les arrêts cités). b/bb. Conformément à l’art. 15 LAI, l’assuré auquel son invalidité rend difficile le choix d’une profession ou l’exercice de son activité antérieure a droit à l’orientation professionnelle.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p. 29 ; voir également arrêt du Tribunal fédéral des assurances I 154/76 du 22 novembre 1976 consid. 2, in RCC 1977 p. 203). L’octroi d’une orientation professionnelle suppose que l’assuré soit entravé, même de manière faible, dans sa recherche d’un emploi adéquat à la suite de problèmes de santé (arrêt du Tribunal fédéral des assurances I 11/99 du 15 octobre 1999 consid. 6). Sont exclus les handicaps insignifiants qui n’ont pas pour effet de provoquer un empêchement sérieux et qui, par conséquent, ne justifient pas l’intervention de l’assurance-invalidité (ATF 114 V 29 consid. 1a p. 29 ; MEYER-BLASER, op. cit., p. 156 ss).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(arrêt du Tribunal fédéral des assurances I 552/86 du 27 novembre 1987 consid. 4a, in RCC 1988 p. 191 ; voir également MEYER, op. cit., ad art. 15 LAI p. 174). b/cc. Aux termes de l’art. 18 al. 1 LAI (nouvelle teneur selon la novelle du 6 octobre 2006 [5ème révision de l’AI], en vigueur depuis le 1er janvier 2008), l’assuré présentant une incapacité de travail et susceptible d’être réadapté a droit : a) à un soutien actif dans la recherche d’un emploi approprié ; b) à un conseil suivi afin de conserver un emploi.</w:t>
      </w:r>
    </w:p>
    <w:p>
      <w:r>
        <w:t>A/2195/2020 - 7/9 -</w:t>
      </w:r>
    </w:p>
    <w:p>
      <w:r>
        <w:rPr>
          <w:b/>
        </w:rPr>
        <w:t>E. 9</w:t>
      </w:r>
    </w:p>
    <w:p>
      <w:r>
        <w:t>Une mesure d’aide au placement se définit comme le soutien que l’administration doit apporter à l’assuré qui est entravé dans la recherche d’un emploi adapté en raison du handicap afférent à son état de santé. Il ne s’agit pas pour l’office de l’assurance-invalidité (ci-après : AI) de fournir une place de travail, mais notamment de soutenir une candidature ou de prendre contact avec un employeur potentiel. Cette mesure n’a pas été fondamentalement modifiée par l’entrée en vigueur des dispositions relatives à la 4ème révision de la LAI (cf. ATF 116 V 80 consid. 6 ; arrêt du Tribunal fédéral des assurances I 421/01 du 15 juillet 2002 consid. 2c, comparés aux arrêts du Tribunal fédéral des assurances I 170/06 du 26 février 2007 et du Tribunal fédéral 9C_879/2008 du 21 janvier 2009 et les références).</w:t>
      </w:r>
    </w:p>
    <w:p>
      <w:r>
        <w:rPr>
          <w:b/>
        </w:rPr>
        <w:t>E. 10</w:t>
      </w:r>
    </w:p>
    <w:p>
      <w:r>
        <w:t>A notamment droit au service de placement au sens de l’art. 18 al. 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des assurances I 510/04 du 19 août 2005 consid. 3.1). Il n’y a en revanche pas d’invalidité au sens de l’art. 18 al. 1 LAI dans sa teneur jusqu’au 31 décembre 2003 (et donc aucun droit à une aide au placement) lorsque l’assuré dispose d’une capacité de travail de 100 %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des assurances I 595/02 du</w:t>
      </w:r>
    </w:p>
    <w:p>
      <w:r>
        <w:rPr>
          <w:b/>
        </w:rPr>
        <w:t>E. 13</w:t>
      </w:r>
    </w:p>
    <w:p>
      <w:r>
        <w:t>Le recourant n’est dès lors pas dans l’incapacité de travailler et partant pas invalide. Il ne peut prétendre à des prestations de l’assurance-invalidité.</w:t>
      </w:r>
    </w:p>
    <w:p>
      <w:r>
        <w:rPr>
          <w:b/>
        </w:rPr>
        <w:t>E. 14</w:t>
      </w:r>
    </w:p>
    <w:p>
      <w:r>
        <w:t>La décision attaquée est conforme au droit.</w:t>
      </w:r>
    </w:p>
    <w:p>
      <w:r>
        <w:rPr>
          <w:b/>
        </w:rPr>
        <w:t>E. 15</w:t>
      </w:r>
    </w:p>
    <w:p>
      <w:r>
        <w:t>Mal fondé, le recours est rejeté.</w:t>
      </w:r>
    </w:p>
    <w:p>
      <w:r>
        <w:rPr>
          <w:b/>
        </w:rPr>
        <w:t>E. 16</w:t>
      </w:r>
    </w:p>
    <w:p>
      <w:r>
        <w:t>La procédure de recours en matière de contestation portant sur l’octroi ou le refus de prestations de l’assurance-invalidité étant soumise à des frais de justice, le recourant sera condamné au paiement d’un émolument, arrêté au montant minimal de CHF 200.- (art. 69 al. 1bis LAI).</w:t>
      </w:r>
    </w:p>
    <w:p>
      <w:r>
        <w:t>A/2195/2020 - 9/9 -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