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ATAS/221/2019 vom 19. März 2019</w:t>
      </w:r>
    </w:p>
    <w:p>
      <w:r>
        <w:t>GE Cour de justice, 2019-03-19, FR</w:t>
      </w:r>
    </w:p>
    <w:p>
      <w:r>
        <w:rPr>
          <w:b/>
        </w:rPr>
        <w:t xml:space="preserve">Quelle: </w:t>
      </w:r>
      <w:r>
        <w:t>https://mcp.opencaselaw.ch/entscheid/ge_gerichte_ATAS_221_2019</w:t>
      </w:r>
    </w:p>
    <w:p>
      <w:r>
        <w:t>FR: GE_GERICHTE ATAS/221/2019 du 19 mars 2019</w:t>
      </w:r>
    </w:p>
    <w:p>
      <w:r>
        <w:t>IT: GE_GERICHTE ATAS/221/2019 del 19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Le litige porte sur le droit du recourant à une rente d’invalidité.</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w:t>
      </w:r>
    </w:p>
    <w:p>
      <w:r>
        <w:t>A/3280/2018 - 9/15 -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7</w:t>
      </w:r>
    </w:p>
    <w:p>
      <w:r>
        <w:t>Selon la jurisprudence,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w:t>
      </w:r>
    </w:p>
    <w:p>
      <w:r>
        <w:t>A/3280/2018 - 10/15 -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(arrêts du Tribunal fédéral 9C_618/2014 du 9 janvier 2015 consid. 5.4 ; 9C_395/2007 du 15 avril 2008 consid. 2.4 ; arrêt du Tribunal fédéral des assurances I 731/02 du 25 juillet 2003 consid. 2).</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A/3280/2018 - 11/15 -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A/3280/2018 - 12/15 -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rPr>
          <w:b/>
        </w:rPr>
        <w:t>E. 12</w:t>
      </w:r>
    </w:p>
    <w:p>
      <w:r>
        <w:t>En l’occurrence, sur la base de l’expertise psychiatrique réalisée par le Dr I______, l’intimé a considéré que l’assuré ne souffrait d’aucune invalidité au sens de la loi et qu’il était pleinement capable d’exercer toute activité professionnelle, sans être entravé par des limitations fonctionnelles. De son côté, le recourant conteste qu’il dispose d’une capacité de travail entière dans toute activité et qu’il ne présente ni limitations fonctionnelles, ni atteintes à la santé au sens de l’assurance-invalidité. Il estime qu’une incapacité de travail d’au moins 50% doit lui être reconnue.</w:t>
      </w:r>
    </w:p>
    <w:p>
      <w:r>
        <w:rPr>
          <w:b/>
        </w:rPr>
        <w:t>E. 13</w:t>
      </w:r>
    </w:p>
    <w:p>
      <w:r>
        <w:t>Comme cela a été précédemment exposé, la question du caractère invalidant d’une dépendance joue un rôle dans l’assurance-invalidité lorsqu’elle provoque une maladie qui entraîne une atteinte à la santé nuisant à la capacité de gain ou lorsqu’elle résulte elle-même d'une atteinte à la santé qui a valeur de maladie (ATF 124 V 265 consid. 3c). La situation de fait doit faire l'objet d'une appréciation globale incluant aussi bien les causes que les conséquences de la dépendance.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En revanche, si l'examen médical conduit à la conclusion que la dépendance est seule déterminante du point de vue de l'assurance-invalidité, il n'y a pas lieu de distinguer entre les différentes atteintes à la santé (arrêt du Tribunal fédéral 9C_618/2014 du 9 janvier 2015 consid. 5 ; arrêt du Tribunal fédéral des assurances I 731/02 du 25 juillet 2003 consid. 2) Dans le cas particulier, l’expertise du Dr I______ ne permet pas de se prononcer sur les critères jurisprudentiels énoncés. En effet, dans son rapport, le Dr I______ retient – outre un trouble (primaire) de l’usage de l’alcool / benzodiazépines et un trouble dépressif induit par la consommation d’alcool – un diagnostic de « vertiges d’origine indéterminée, éventuellement avec une composante anxieuse », soit un diagnostic peu clair qui mériterait d’être précisé par un spécialiste. Dans la partie de son rapport intitulée « réponses aux questions », le Dr I______ précise que ce sont les vertiges et l’éthylisme qui entraînent une diminution des capacités fonctionnelles. Or, les médecins ne sont pas unanimes quant à l’origine de ces vertiges, qui ont augmenté progressivement depuis 2006 pour devenir permanents, ni d’ailleurs s’agissant de l’origine des tremblements des membres supérieurs,</w:t>
      </w:r>
    </w:p>
    <w:p>
      <w:r>
        <w:t>A/3280/2018 - 13/15 - apparus en 2011. En effet, selon le rapport du SMPR de novembre 2015, ces troubles persistent tous malgré le sevrage d’alcool, ce qui semble exclure tout lien avec la dépendance, respectivement le sevrage. Le même rapport précise que les symptômes sont de longue durée et n’ont pas d’étiologie clairement identifiée. Le Dr I______ n’est pas non plus en mesure de répondre à la question – qui paraît pourtant déterminante au regard de la jurisprudence – de savoir si le syndrome de dépendance a entraîné des troubles irréversibles (p. 6 de son rapport) ; à ce propos, il se limite à indiquer qu’une polyneuropathie est évoquée dans le dossier, mais qu’elle demanderait à être objectivée, ce qui met en exergue que cette question n’a pas été instruite non plus. Eu égard aux considérations qui précèdent, la chambre de céans constate que l’intimé n’a pas instruit la question d’éventuelles conséquences irréversibles de la dépendance, en particulier la polyneuropathie, les vertiges et le syndrome (suspecté) de tachycardie orthostatique posturale. Surtout, les répercussions de chacune de ces atteintes – prises isolément – sur la capacité de travail n’ont pas été suffisamment clarifiées. On relèvera encore que l’appréciation de l’expert-psychiatre diverge sensiblement de celle des autres médecins en ce qui concerne les limitations fonctionnelles et les répercussions des différentes atteintes sur la capacité de travail : si le Dr I______, auquel le SMR s’est rallié, a retenu une pleine capacité de travail, mais sans énumérer les limitations fonctionnelles, les médecins du SMPR et de l’assurance perte de gain, de leur côté, ont évalué la capacité de travail à 50% dans une activité adaptée, qui serait exercée essentiellement en position assise et permettrait d’éviter le port de charges, ainsi que les déplacements intempestifs (risques de chute). Quant au médecin-conseil de l’OCE, il a estimé que l’assuré pouvait exercer une activité adaptée, exercée exclusivement en position assise, à un taux compris entre 30% et 50%. Pour autant et contrairement à ce que soutient le recourant, ces rapports attestant d’une capacité partielle de travail ne suffisent pas à trancher la cause, eu égard à leur faible densité de motivation, qui ne permet pas d’apprécier le caractère éventuellement incapacitant des diverses atteintes dont il souffre. Compte tenu de son caractère lacunaire et des doutes affectant ses conclusions, on ne saurait reconnaître à l’expertise psychiatrique du Dr I______ une pleine valeur probante. À cela s’ajoute que, comme le fait justement remarquer le recourant, les atteintes ressortant du dossier ne relèvent pas uniquement de la psychiatrie, mais aussi de la cardiologie et de la neurologie, puisqu’en sus de la dépendance, il est question d’un possible syndrome de tachycardie orthostatique posturale, de vertiges et d’une polyneuropathie. Une expertise strictement psychiatrique ne saurait donc suffire. En l’état actuel du dossier, la chambre de céans n’est pas en mesure de tirer des conclusions définitives sur les atteintes à la santé du recourant et leurs répercussions sur la capacité de travail. En l’absence d’un rapport pluridisciplinaire complet et satisfaisant aux réquisits jurisprudentiels topiques (ATF 125 V 351</w:t>
      </w:r>
    </w:p>
    <w:p>
      <w:r>
        <w:t>A/3280/2018 - 14/15 - consid. 3 ; arrêt du Tribunal fédéral des assurances I 731/02 du 25 juillet 2003 consid. 2), il est impossible de déterminer le degré d’invalidité, ce qui commande de renvoyer le dossier à l’administration, quand bien même cela est propre à occasionner un allongement de la procédure, que le recourant aurait préféré éviter. Contrairement à ce qu’il prétend, on ne saurait pas non plus surseoir à une instruction complémentaire, sous prétexte qu’il serait difficile pour les futurs experts d’évaluer la capacité de travail de manière partiellement rétrospective, la demande ayant été déposée en 2015. En effet, il n'est pas rare, dans le domaine de l'assurance-invalidité, que l'évaluation médicale de la capacité de travail doive porter sur une période remontant à plusieurs années dans le passé, ce qui suppose une appréciation rétrospective de la situation, à l'aide des données du dossier et de l'examen de la personne concernée (arrêt du Tribunal fédéral 9C_291/2018 du 3 août 2018 consid. 5.1).</w:t>
      </w:r>
    </w:p>
    <w:p>
      <w:r>
        <w:rPr>
          <w:b/>
        </w:rPr>
        <w:t>E. 14</w:t>
      </w:r>
    </w:p>
    <w:p>
      <w:r>
        <w:t>Partant, le recours est partiellement admis, la décision du 16 août 2018 annulée et la cause renvoyée à l’intimé pour qu’il complète l’instruction, puis rende une nouvelle décision. Il incombera à l’intimé de mettre en œuvre une expertise médicale indépendante, conformément à l’art. 44 LPGA, comprenant des volets psychiatriques, cardiologiques et neurologiques. Il conviendra en particulier que les experts se prononcent sur les diagnostics dont souffre l’assuré, qu’ils déterminent quel rôle joue chacun d’entre eux sur sa capacité de travail et à quel taux celle-ci pourrait être évaluée depuis 2015 (dépôt de la demande), abstraction faite de la dépendance à l’alcool et aux benzodiazépines.</w:t>
      </w:r>
    </w:p>
    <w:p>
      <w:r>
        <w:rPr>
          <w:b/>
        </w:rPr>
        <w:t>E. 15</w:t>
      </w:r>
    </w:p>
    <w:p>
      <w:r>
        <w:t>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w:t>
      </w:r>
    </w:p>
    <w:p>
      <w:r>
        <w:rPr>
          <w:b/>
        </w:rPr>
        <w:t>E. 16</w:t>
      </w:r>
    </w:p>
    <w:p>
      <w:r>
        <w:t>La procédure de recours en matière de contestation portant sur l’octroi ou le refus de prestations de l’assurance-invalidité étant soumise à des frais de justice, un émolument de CHF 200.- est mis à charge de l’intimé (art. 69 al. 1 bis LAI).</w:t>
      </w:r>
    </w:p>
    <w:p>
      <w:r>
        <w:t>******</w:t>
      </w:r>
    </w:p>
    <w:p>
      <w:r>
        <w:t>A/3280/2018 - 15/15 -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