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ATAS/221/2016 vom 23. Februar 2016</w:t>
      </w:r>
    </w:p>
    <w:p>
      <w:r>
        <w:t>GE Cour de justice, 2016-02-23, FR</w:t>
      </w:r>
    </w:p>
    <w:p>
      <w:r>
        <w:rPr>
          <w:b/>
        </w:rPr>
        <w:t xml:space="preserve">Quelle: </w:t>
      </w:r>
      <w:r>
        <w:t>https://mcp.opencaselaw.ch/entscheid/ge_gerichte_ATAS_221_2016</w:t>
      </w:r>
    </w:p>
    <w:p>
      <w:r>
        <w:t>FR: GE_GERICHTE ATAS/221/2016 du 23 février 2016</w:t>
      </w:r>
    </w:p>
    <w:p>
      <w:r>
        <w:t>IT: GE_GERICHTE ATAS/221/2016 del 23 febbraio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w:t>
      </w:r>
    </w:p>
    <w:p>
      <w:r>
        <w:t>A/3666/2015 - 12/25 -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(art. 56 ss et 38 al. 1 LPGA).</w:t>
      </w:r>
    </w:p>
    <w:p>
      <w:r>
        <w:rPr>
          <w:b/>
        </w:rPr>
        <w:t>E. 5</w:t>
      </w:r>
    </w:p>
    <w:p>
      <w:r>
        <w:t>Le litige porte sur le droit du recourant à une rente, en particulier sur sa capacité de travail dans une activité adaptée à ses limitations fonctionnelles, et à des mesures professionnelles. À cet égard, on précisera que si le recourant a contesté le revenu avec invalidité retenu par l’intimé pour calculer son degré d’invalidité dans le projet de décision du 27 mars 2015, il n’a pas maintenu ce grief dans le cadre de son recours du 20 octobre 2015. Par conséquent, cette question sort de l’objet du litige et ne sera pas examinée (cf. ATF 125 V 414 consid. 1b et 2 ; ATF 122 V 244 consid. 2a ; ATF 117 V 295 consid. 2a).</w:t>
      </w:r>
    </w:p>
    <w:p>
      <w:r>
        <w:rPr>
          <w:b/>
        </w:rPr>
        <w:t>E. 6</w:t>
      </w:r>
    </w:p>
    <w:p>
      <w:r>
        <w:t>a) À titre liminaire, il convient d’examiner le grief du recourant relatif à la violation de son droit d’être entendu par l’intimé, ce dernier n’ayant, selon lui, pas motivé la décision querellée de manière suffisante. b) Le droit d’être entendu est une garantie de nature formelle dont la violation entraîne, lorsque sa réparation par l'autorité de recours n'est pas possible, l'annulation de la décision attaquée sans égard aux chances de succès du recours sur le fond (ATF 137 I 195 consid. 2.2 ; ATF 133 III 235 consid. 5.3 p. 250 ; arrêts du Tribunal fédéral 5A_825/2012 du 17 avril 2013 consid. 3.1). Ce moyen doit par conséquent être examiné en premier lieu (ATF 137 I 195 consid. 2.2 p. 197). Sa portée est déterminée en premier lieu par le droit cantonal (art. 41 ss LPA) et le droit administratif spécial (ATF 126 I 15 consid. 2 ; ATF 124 I 49 consid. 3a et les arrêts cités).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Quant à l'art. 6 § 1 CEDH, il n'accorde pas au justiciable de garanties plus étendues que celles découlant de l'art. 29 al. 2 Cst. (arrêt du Tribunal fédéral 6B_24/2010 du 20 mai 2010 consid. 1).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 arrêts du Tribunal fédéral 8C_866/2010 du 12 mars 2012 consid. 4.1.1). 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138 I 232 consid. 5.1 ; ATF 137 II 266 consid. 3.2 ; ATF 136 I 229</w:t>
      </w:r>
    </w:p>
    <w:p>
      <w:r>
        <w:t>A/3666/2015 - 13/25 - consid. 5.2). Il suffit, du point de vue de la motivation de la décision, que les parties puissent se rendre compte de sa portée à leur égard et, le cas échéant, recourir contre elle en connaissance de cause (ATF 136 I 184 consid. 2.2.1 ; arrêts du Tribunal fédéral 2C_997/2011 du 3 avril 2012 consid. 3). La violation du droit d’être entendu doit en principe entraîner l’annulation de la décision attaquée, indépendamment des chances du recourant sur le fond (ATF 135 I 279 consid. 2.6.1 ; ATF 133 III 235 consid. 5.3). Une réparation devant l’instance du recours est possible si celle-ci jouit du même pouvoir d’examen que l’autorité intimée (ATF 138 I 97 consid. 4.16.1; ATF 137 I 195 consid. 2.3.2). La réparation dépend cependant de la gravité et de l'étendue de l'atteinte portée au droit d'être entendu et doit rester l'exception (ATF 126 I 68 consid. 2 ; arrêt du Tribunal fédéral 1C_63/2008 du 25 août 2008 consid. 2.1 et les références citées) ; elle peut se justifier en présence d'un vice grave notamment lorsque le renvoi constituerait une vaine formalité et aboutirait à un allongement inutile de la procédure (ATF 137 I 195 consid. 2.3.2 ; ATF 136 V 117 consid. 4.2.2.2 ; ATF 133 I 201 consid. 2.2).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(ATA/304/2013 du 14 mai 2013 consid. 4. c; ATA/126/2013 du 26 février 2013). c) En l’occurrence, le recourant reproche à l’intimé de retenir une capacité résiduelle de travail de 70%, sans aucune motivation, de ne pas avoir indiqué pour quels motifs il se fondait sur une expertise datant de 2005 et d’avoir relevé succinctement qu’il pourrait mettre à profit sa capacité de travail dans des activités simples, sans aucune autre indication lui permettant de comprendre comment mettre à profit sa capacité de travail. Cela étant, il ressort explicitement de la décision entreprise que l’intimé a pris en considération une capacité de travail de 70% dans une activité adaptée en se fondant sur l’expertise du Dr G______ du 4 décembre 2009 et sur les avis du SMR confirmant ses conclusions. Il est ainsi difficilement compréhensible que le recourant, par ailleurs assisté d’un conseil, puisse reprocher à l’intimé un manque de motivation sur ce point. De plus, le second grief du recourant contredit manifestement le premier, puisqu’il reproche à l’intimé à la fois de ne pas avoir motivé le taux de capacité de travail retenu et de s’être fondé sur une expertise datant de 2005, ce qui est par ailleurs erroné, puisque l’expertise du Dr G______ a été établie en 2009. Quant au fait que l’intimé considère que le recourant pourrait mettre à profit sa capacité de travail dans des activités simples, non seulement l’intimé a précisé s’être fondé sur les rapports établis en 2013 par les EPI, mais il a en résumé les points importants, selon lui. Par conséquent, le grief de la violation du droit d’être entendu du recourant doit être rejeté.</w:t>
      </w:r>
    </w:p>
    <w:p>
      <w:r>
        <w:t>A/3666/2015 - 14/25 -</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A/3666/2015 - 15/25 -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t>A/3666/2015 - 16/25 -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des assurances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w:t>
      </w:r>
    </w:p>
    <w:p>
      <w:r>
        <w:t>A/3666/2015 - 17/25 - médecins et les organes d'observation professionnelle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 arrêt du Tribunal fédéral 9C_833/2007 du 4 juillet 2008, in Plädoyer 2009/1 p. 70 ; arrêt du Tribunal fédéral des assurances I 35/03 du 24 octobre 2003 consid. 4.3 et les références, in Plädoyer 2004/3 p. 64 ; arrêt du Tribunal fédéral 9C_512/2013 du 16 janvier 2014 consid. 5.2.1).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10</w:t>
      </w:r>
    </w:p>
    <w:p>
      <w:r>
        <w:t>En l’espèce, le recourant conteste la valeur probante de l’expertise du Dr G______. Selon lui, l’expert a déterminé sa capacité de travail sur la base des rapports et expertises qui avaient été écartés par la chambre de céans dans le cadre de son arrêt du 26 mai 2009. De plus les conclusions de l’expert entrent en contradiction avec celles des Drs E______ et D______, et des rapports des EPI. Il sollicite une comparution personnelle des parties et la mise en œuvre d’une expertise. Pour sa part, l’intimé se fonde sur l’expertise du Dr G______ et les rapports du SMR validant ses conclusions.</w:t>
      </w:r>
    </w:p>
    <w:p>
      <w:r>
        <w:t>A/3666/2015 - 18/25 - La chambre de céans relève en premier lieu qu’elle dispose d’un dossier contenant tous les éléments nécessaires pour trancher le litige, de sorte qu’il n’y a pas lieu d’ordonner des actes d’instruction complémentaires. En ce qui concerne la comparution personnelle des parties, le recourant a exposé ses arguments et fait valoir ses griefs dans le cadre de ses écritures, ce qui rend toute audition inutile. S’agissant de la mise en œuvre d’une expertise, elle ne se justifie pas, compte tenu de ce qui suit. En l’occurrence, le Dr G______ a considéré que le recourant était totalement incapable de travailler dans son activité habituelle, mais qu’il était en mesure d’exercer à 70% une activité adaptée à ses limitations fonctionnelles, étant précisé que ce taux prenait en compte la diminution de rendement découlant de la réduction de la vitesse d’exécution de certaines tâches impliquant le rachis, de la nécessité d’alterner les positions et de l’éventuel besoin de prendre des pauses supplémentaires. L’activité en question devait être légère, plutôt sédentaire, exclure les ports de charges au-delà de cinq kilogrammes et les mouvements répétitifs du rachis en porte-à-faux, et autoriser l’alternance de la position assise et debout, étant précisé que le maintien de la position assise ne devait pas dépasser une heure. Cela étant, l’expertise en question répond aux réquisits jurisprudentiels relatifs à la valeur probante. Elle se fonde en effet sur un examen clinique du recourant, sur l'étude approfondie de son dossier médical, tient compte des plaintes exprimées par ses soins et contient une anamnèse complète, des diagnostics clairs et des conclusions motivées. L’appréciation du Dr G______ est claire et permet de comprendre les troubles dont souffre le recourant et leurs conséquences sur sa capacité à exercer son activité habituelle ou une activité adaptée. Par ailleurs, s’agissant de la capacité de travail, l’expert a bien précisé que celle-ci prenait en compte la diminution de rendement prévisible du recourant, en raison des limitations induites par son état de santé. Contrairement à ce que soutient le recourant, les conclusions du Dr G______ quant à sa capacité de travail ne découlent pas directement de l’expertise du Dr D______ réalisée en 2005. À la lecture de l’expertise du Dr G______, il apparaît au contraire que son analyse du cas est indépendante, l’expert se contentant de mentionner l’existence des rapports et expertises de ses confrères et de relever que l’examen clinique réalisé par ses soins est quasiment superposable à celui réalisé par le Dr D______ en 2005, ce qui signifie que l’état du recourant est stable. Le recourant oppose à l’expertise du Dr G______ celle du Dr D______ et les rapports du Dr E______, ces derniers ayant retenu une capacité de travail inférieure. Dans la mesure où l’expertise du Dr D______ a été jugée incomplète par la chambre de céans dans son arrêt du 26 mai 2009 (ATAS/627/2009) et qu’elle n’a pas pu être complétée, le Dr D______ ayant cessé son activité d’expert, elle ne saurait constituer une base suffisante pour remettre en question les conclusions du Dr G______. Quant aux rapports du Dr E______, outre le fait qu’ils ont été établis par le médecin traitant du recourant, ce dont il faut tenir compte, ils ne sont pas</w:t>
      </w:r>
    </w:p>
    <w:p>
      <w:r>
        <w:t>A/3666/2015 - 19/25 - suffisamment détaillés et motivés pour se voir reconnaître une pleine valeur probante. Pour le surplus, ces rapports ne contiennent pas d’éléments objectifs qui auraient été ignorés par le Dr G______. Enfin, on relèvera que les conclusions du rapport du 27 août 2009 du Dr E______ ne contredisent en rien celles du Dr G______. Le recourant souligne que le Dr G______ a retenu une capacité de travail théorique de 70%, ce qui est contredit par les rapports des EPI, dont les conclusions devraient être privilégiées, dans la mesure où elles ont été prises à l’issue de stages pratiques qui ont mis en lumière une capacité de travail inférieure à 70%. Conformément à la jurisprudence précitée, ces éléments ne suffisent pas à remettre en cause la valeur probante de l’expertise du Dr G______. En effet, les constatations qui peuvent être faites à l'occasion d'un stage d'observation professionnelle sont susceptibles d’être influencées par des éléments subjectifs liés au comportement de l'assuré pendant le stage. Il apparaît en l’occurrence que le comportement du recourant a été une entrave au bon déroulement du stage dans la cafétéria d’un EMS en été 2013, de sorte que les conclusions du Dr G______ doivent être préférées aux éléments tirés des rapports des EPI. Compte tenu de ces éléments, la valeur probante de l’expertise du Dr G______ doit être confirmée, de même que celle des avis du SMR qui l’ont confirmée. La chambre de céans n’a dès lors aucun motif de s’écarter de ses conclusions. Ainsi, c’est à bon droit que l’intimé a considéré que le recourant était en mesure de mettre à profit une capacité de travail de 70% dans une activité adaptée. Le calcul du degré d’invalidité n’étant à juste titre pas contesté par le recourant, il doit être également confirmé, de même que le degré d’invalidité de 35% retenu.</w:t>
      </w:r>
    </w:p>
    <w:p>
      <w:r>
        <w:rPr>
          <w:b/>
        </w:rPr>
        <w:t>E. 11</w:t>
      </w:r>
    </w:p>
    <w:p>
      <w:r>
        <w:t>a)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 117 V 278 consid. 2b ; 400 consid. 4b et les arrêts cités). La réadaptation par soi-même est un aspect de l’obligation de diminuer le dommage et prime aussi bien le droit à une rente qu’à celui des mesures de réadaptation (art. 21 al. 4 LPGA).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w:t>
      </w:r>
    </w:p>
    <w:p>
      <w:r>
        <w:t>A/3666/2015 - 20/25 -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On rappellera encore qu'il n'existe pas un droit inconditionnel à obtenir une mesure professionnelle (voir par ex. arrêt du Tribunal fédéral 9C_385/2009 du 13 octobre 2009). Il faut également relever que si une perte de gain de 20% environ ouvre en principe droit à une mesure de reclassement dans une nouvelle profession (ATF 124 V 108 consid. 2b et les arrêts cités), le pourcentage étant calculé selon les mêmes principes que ceux appliqués lors de la détermination du degré d’invalidité dans le cas du droit à une rente (RCC 1984, p. 95 et VSI 2000, p. 63). La question d’une quotité minimale reste ouverte s'agissant des autres mesures d'ordre professionnel prévues par la loi (cf. arrêts du Tribunal fédéral 9C_464/2009 du 31 mai 2010 et 9C_385/2009 du 13 octobre 2009). b) Selon l'art. 15 LAI, l'assuré auquel son invalidité rend difficile le choix d'une profession ou l'exercice de son activité antérieure a droit à l'orientation professionnelle. L’orientation professionnelle, qui inclut également les conseils en</w:t>
      </w:r>
    </w:p>
    <w:p>
      <w:r>
        <w:t>A/3666/2015 - 21/25 -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c) Selon l’art.17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w:t>
      </w:r>
    </w:p>
    <w:p>
      <w:r>
        <w:t>A/3666/2015 - 22/25 -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d) L'art. 18 al. 1 première phrase LAI, dans sa teneur selon la novelle du 21 mars 2003 ([4ème révision de l'AI], en vigueur du 1er janvier 2004 au 31 décembre 2007), disposait que les assurés invalides qui sont susceptibles d'être réadaptés ont droit à un soutien actif dans la recherche d'un emploi approprié, et, s'ils en ont déjà un, à un conseil suivi afin de le conserver. Aux termes de l'art. 18 al. 1 LAI (nouvelle teneur selon la novelle du 6 octobre 2006 [5ème révision de l'AI], en vigueur depuis le 1er janvier 2008), l'assuré présentant une incapacité de travail et susceptible d'être réadapté a droit :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(cf. ATF 116 V 80 consid. 6; arrêt du Tribunal fédéral des assurances I 421/01 du 15 juillet 2002 consid. 2c, comparés aux arrêts du Tribunal fédéral I 170/06 et 9C_879/2008 des 26 février 2007 et 21 janvier 2009 et les références). Selon la jurisprudence développée à propos de l'art. 18 LAI dans sa teneur jusqu'au 31 décembre 2003, l'admission du droit au service de placement est subordonnée aux conditions générales du droit aux prestations de l'assurance-invalidité; elle dépend notamment de l'existence d'une invalidité spécifique par rapport aux prestations entrant en ligne de compte (arrêt du Tribunal fédéral des assurances I 523/04 du 19 août 2005 consid. 3.1). Le Tribunal fédéral a ainsi considéré que cette condition était remplie, pourvu que l'assuré rencontre, dans la recherche d'un emploi, des difficultés même légères en raison de son état de santé (ATF 116 V 80 consid. 6a; VSI 2000 p. 72 consid. 1a). Dès lors, il existe une invalidité déterminante pour le service de placement si, pour des raisons de santé, l'assuré rencontre des difficultés dans la recherche d'un emploi approprié (ATF 116 V 80 consid. 6a). Tel est le cas par exemple si, en raison de sa surdité ou de son manque de mobilité, l'assuré ne peut avoir un entretien d'embauche ou est dans l'incapacité d'expliquer à un employeur potentiel ses possibilités réelles et ses limites (par ex.</w:t>
      </w:r>
    </w:p>
    <w:p>
      <w:r>
        <w:t>A/3666/2015 - 23/25 - les activités qu'il peut encore exécuter en dépit de son atteinte visuelle), de sorte qu'il n'aura aucune chance d'obtenir l'emploi souhaité (VSI 2003 p. 274 ss consid. 2c).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principe dont la jurisprudence a admis qu'il demeurait valable également après l'entrée en vigueur de la 4ème et de la 5ème révision de l'AI (arrêt du Tribunal fédéral des assurances I 427/05 du 24 mars 2006, in SVR 2006 IV Nr. 45 p. 162 ; arrêt du Tribunal fédéral 9C_416/2009 du 1er mars 2010 consid. 5.2).</w:t>
      </w:r>
    </w:p>
    <w:p>
      <w:r>
        <w:rPr>
          <w:b/>
        </w:rPr>
        <w:t>E. 12</w:t>
      </w:r>
    </w:p>
    <w:p>
      <w:r>
        <w:t>En l’espèce, le recourant fait grief à l’intimé de ne pas avoir mis en œuvre les mesures de réadaptations nécessaires à son retour à l’emploi. Sur ce point, il ressort du dossier que le recourant a pu bénéficier, d’entente avec l’intimé, de plusieurs mesures professionnelles, notamment des stages, dans le cadre de l’assurance-chômage, notamment entre 2009 et 2011. En 2013, l’intimé a octroyé et pris en charge une orientation professionnelle au bénéfice du recourant, lequel a pu effectuer un stage de trois semaines dans la cafétéria d’un EMS et un stage d’une semaine au sein des EPI, en tant qu’ouvrier d’établi. Contrairement à que soutient le recourant, la mesure d’orientation professionnelle était adaptée aux circonstances et a atteint son objectif, puisqu’elle lui a permis de déterminer vers quelles professions diriger ses recherches d’emploi, soit ouvrier à l’établi, employé de conditionnement léger, agent de contrôle qualité, ou encore magasinier de pièces détachées. Par ailleurs, les stages suivis lui ont permis de retrouver un environnement professionnel, d’atteindre progressivement un temps de présence de 100%, de mettre en évidence des compétences adaptées à des activités simples, en particulier sa dextérité. On rappellera encore que ces compétences ont également été mises en évidence lors de son stage organisé par l’assurance- chômage auprès de la fondation PRO en 2010. Il ressort également du dossier que les EPI et le service de réadaptation de l’intimé ont relevé l’attitude contradictoire du recourant. En effet, s’il exprimait le souhait de retrouver un emploi adapté à ses limitations fonctionnelles, son attitude était passive et plutôt négative. Toutefois, la question de la condition subjective à des mesures professionnelles peut rester ouverte, dans la mesure où le recourant ne remplit pas les conditions d’un reclassement ou d’une aide au placement. En effet, l’orientation professionnelle dont a bénéficié le recourant l’a dirigé vers des professions qui ne nécessitent pas ou peu de formation et qui sont accessibles sans connaissances particulières de sorte qu’un reclassement est inutile. Il en va de même pour l’aide au placement, dans la mesure où le recourant est capable d’obtenir des entretiens d’embauche et d’expliquer à un futur employeur ses limitations fonctionnelles et leurs conséquences.</w:t>
      </w:r>
    </w:p>
    <w:p>
      <w:r>
        <w:t>A/3666/2015 - 24/25 - Par conséquent, il convient d’admettre que la mesure d’orientation professionnelle mise en œuvre par l’intimé en 2013 a atteint son but et que ce dernier était légitimé à refuser au recourant une autre mesure professionnelle.</w:t>
      </w:r>
    </w:p>
    <w:p>
      <w:r>
        <w:rPr>
          <w:b/>
        </w:rPr>
        <w:t>E. 13</w:t>
      </w:r>
    </w:p>
    <w:p>
      <w:r>
        <w:t>Au vu de ce qui précède, le recours sera rejeté. Étant donné que depuis le 1er juillet 2006, la procédure n'est plus gratuite (art. 69 al. 1bis LAI), il y a lieu de condamner le recourant au paiement d'un émolument de CHF 200.-.</w:t>
      </w:r>
    </w:p>
    <w:p>
      <w:r>
        <w:t>A/3666/2015 - 25/25 -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