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ATAS/220/2024 vom 30. März 2023</w:t>
      </w:r>
    </w:p>
    <w:p>
      <w:r>
        <w:t>GE Cour de justice, 2023-03-30, FR</w:t>
      </w:r>
    </w:p>
    <w:p>
      <w:r>
        <w:rPr>
          <w:b/>
        </w:rPr>
        <w:t xml:space="preserve">Quelle: </w:t>
      </w:r>
      <w:r>
        <w:t>https://mcp.opencaselaw.ch/entscheid/ge_gerichte_ATAS_220_2024</w:t>
      </w:r>
    </w:p>
    <w:p>
      <w:r>
        <w:t>FR: GE_GERICHTE ATAS/220/2024 du 30 mars 2023</w:t>
      </w:r>
    </w:p>
    <w:p>
      <w:r>
        <w:t>IT: GE_GERICHTE ATAS/220/2024 del 30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A/2088/2022 - 6/9 - En l’occurrence, la décision querellée concerne un premier octroi de rente dont le droit serait né avant le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du 18 mai 2022, singulièrement le fait que le recourant ne remplit pas les conditions d’assurance.</w:t>
      </w:r>
    </w:p>
    <w:p>
      <w:r>
        <w:rPr>
          <w:b/>
        </w:rPr>
        <w:t>E. 7</w:t>
      </w:r>
    </w:p>
    <w:p>
      <w:r>
        <w:t>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 ou dix ans de résidence ininterrompue en Suisse.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avec celle à partir de laquelle une prestation a été requise ni avec le moment où l’assuré apprend, pour la première fois, que l’atteinte à sa santé peut ouvrir droit à des prestations d’assurance (ATF 126 V 5 consid. 2b et références y citées). S’agissant du droit à l’octroi d’une rente ordinaire d'invalidité, il est subordonné à ce que lors de la survenance de l’invalidité, l’assuré compte au moins trois années de cotisation selon l’art. 36 al. 1 LAI. Pour avoir droit à une rente extraordinaire d’invalidité, selon l’art. 39 al. 3 LAI, l’invalide étranger doit remplir, comme enfants, les conditions fixées à l’art. 9 al. 3 LAI.</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A/2088/2022 - 7/9 -</w:t>
      </w:r>
    </w:p>
    <w:p>
      <w:r>
        <w:rPr>
          <w:b/>
        </w:rPr>
        <w:t>E. 9</w:t>
      </w:r>
    </w:p>
    <w:p>
      <w:r>
        <w:t>En l’espèce, le recourant soutient que ses troubles psychiques sont postérieurs à son arrivée en Suisse, alors que l’intimé considère que, selon les éléments retenus lors de l’anamnèse et en fonction des hospitalisations qui se sont déroulées depuis l’arrivée du recourant en Suisse, ce dernier souffrait déjà de troubles psychiques entraînant son invalidité, avant son arrivée en Suisse.</w:t>
      </w:r>
    </w:p>
    <w:p>
      <w:r>
        <w:rPr>
          <w:b/>
        </w:rPr>
        <w:t>E. 9.1</w:t>
      </w:r>
    </w:p>
    <w:p>
      <w:r>
        <w:t>À teneur des documents figurant au dossier, il est établi que le recourant est turc, qu’il est arrivé en Suisse en novembre 2010 (son permis F précise que la date d’entrée en Suisse est le 30 novembre 2010), qu'il n’a pas exercé d'activité lucrative déclarée et n’a jamais cotisé en Suisse. L’hospice lui accorde des prestations depuis le 1er février 2013, selon le courrier de l’hospice adressé à l’OAI en date du 7 juin 2021. S’agissant de la survenance des troubles psychiques, il ressort des pièces médicales que le recourant a fait l’objet de plusieurs hospitalisations à Genève, la première datant de l’année 2013.</w:t>
      </w:r>
    </w:p>
    <w:p>
      <w:r>
        <w:rPr>
          <w:b/>
        </w:rPr>
        <w:t>E. 9.2</w:t>
      </w:r>
    </w:p>
    <w:p>
      <w:r>
        <w:t>À l’aune de ces éléments, il n’est pas nécessaire d’examiner à quel moment précis l’invalidité due aux troubles psychiques est intervenue car le recourant ne remplit pas les conditions fixées pour les ressortissants étrangers, à savoir une année entière de cotisation ou dix ans de résidence ininterrompue en Suisse lors de la survenue de l’invalidité, pour une rente extraordinaire, et trois ans de cotisation pour une rente ordinaire. Étant encore rappelé que les conditions d'assurance doivent être remplies, non pas au moment de la demande de prestations, mais au moment de la survenance de l'invalidité (ATF 111 V 110 consid. 3d in fine et ATF 108 V 64).</w:t>
      </w:r>
    </w:p>
    <w:p>
      <w:r>
        <w:rPr>
          <w:b/>
        </w:rPr>
        <w:t>E. 9.3</w:t>
      </w:r>
    </w:p>
    <w:p>
      <w:r>
        <w:t>S’agissant de la Convention de sécurité sociale entre la Suisse et la République de Turquie conclue le 1er mai 1969 (RS 0.831.109.763.1), elle prévoit aux art. 10 et 11 que les ressortissants turcs ont droit aux rentes ordinaires ou extraordinaires de l’assurance-invalidité, aux mêmes conditions que les ressortissants suisses. Elle renvoie, dès lors, aux dispositions de la LAI, mais ne saurait dispenser un ressortissant turc de remplir lesdites conditions d’assurance, notamment le nombre d’années minimum de cotisation auxquelles est soumise la naissance du droit à une rente ordinaire ou extraordinaire. En l’état, le recourant ne démontre aucune période de cotisation, ni en Suisse, ni à l’étranger, et ne peut donc pas prétendre à l’octroi d’une rente ordinaire qui prévoit d’avoir cotisé pendant au moins trois ans (art. 36 al. 1 LAI). Il ne peut pas non plus prétendre à une rente extraordinaire dès lors qu’il ne remplit pas le même nombre d’années d’assurance qu’une personne de sa classe d’âge (art. 42 al. 1 de la loi fédérale sur l’assurance-vieillesse et survivants du 20 décembre 1946 [LAVS - RS 831.10] par renvoi de l’art. 39 al. 1 LAI) et n’a pas cotisé pendant une année (art. 39 al. 2 LAI).</w:t>
      </w:r>
    </w:p>
    <w:p>
      <w:r>
        <w:t>A/2088/2022 - 8/9 -</w:t>
      </w:r>
    </w:p>
    <w:p>
      <w:r>
        <w:rPr>
          <w:b/>
        </w:rPr>
        <w:t>E. 9.4</w:t>
      </w:r>
    </w:p>
    <w:p>
      <w:r>
        <w:t>S’agissant des éventuelles périodes de cotisation en Turquie ou dans d’autres pays de l’UE ou de l’AELE, il n’en existe aucune trace dans le dossier, le recourant n’en fait aucune mention et n’a communiqué aucune pièce rendant vraisemblable l’existence de telles périodes de cotisation, alors même que son attention a été attirée par l’OAI, pendant la phase d’audition, sur la nécessité de fournir des pièces complémentaires à l’appui de ses prétentions.</w:t>
      </w:r>
    </w:p>
    <w:p>
      <w:r>
        <w:rPr>
          <w:b/>
        </w:rPr>
        <w:t>E. 10</w:t>
      </w:r>
    </w:p>
    <w:p>
      <w:r>
        <w:t>Au vu de ce qui précède, la chambre de céans n’a d’autre choix que de rejeter le recours.</w:t>
      </w:r>
    </w:p>
    <w:p>
      <w:r>
        <w:rPr>
          <w:b/>
        </w:rPr>
        <w:t>E. 11</w:t>
      </w:r>
    </w:p>
    <w:p>
      <w:r>
        <w:t>Le recourant, qui n’est pas au bénéfice de l’assistance juridique, sera condamné au paiement d'un émolument de CHF 200.- (art. 69 al.1bis LAI).</w:t>
      </w:r>
    </w:p>
    <w:p>
      <w:r>
        <w:t>A/2088/2022 - 9/9 -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