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ATAS/220/2020 vom 16. März 2020</w:t>
      </w:r>
    </w:p>
    <w:p>
      <w:r>
        <w:t>GE Cour de justice, 2020-03-16, FR</w:t>
      </w:r>
    </w:p>
    <w:p>
      <w:r>
        <w:rPr>
          <w:b/>
        </w:rPr>
        <w:t xml:space="preserve">Quelle: </w:t>
      </w:r>
      <w:r>
        <w:t>https://mcp.opencaselaw.ch/entscheid/ge_gerichte_ATAS_220_2020</w:t>
      </w:r>
    </w:p>
    <w:p>
      <w:r>
        <w:t>FR: GE_GERICHTE ATAS/220/2020 du 16 mars 2020</w:t>
      </w:r>
    </w:p>
    <w:p>
      <w:r>
        <w:t>IT: GE_GERICHTE ATAS/220/2020 del 16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w:t>
      </w:r>
    </w:p>
    <w:p>
      <w:r>
        <w:t>A/4489/2019 - 4/9 - En l'espèce, le recours pour déni de justice, interjeté par-devant l'autorité compétente (art. 58 al. 1 LPGA), est recevable.</w:t>
      </w:r>
    </w:p>
    <w:p>
      <w:r>
        <w:rPr>
          <w:b/>
        </w:rPr>
        <w:t>E. 3</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w:t>
      </w:r>
    </w:p>
    <w:p>
      <w:r>
        <w:t>A/4489/2019 - 5/9 -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w:t>
      </w:r>
    </w:p>
    <w:p>
      <w:r>
        <w:t>Conformément à l’art. 61 let. g LPGA, le recourant qui obtient gain de cause a droit au remboursement de ses frais et dépens dans la mesure fixée par le tribunal; leur montant est déterminé sans égard à la valeur litigieuse d’après l’importance et la complexité du litige. Lorsqu'en cours de procédure, l'autorité intimée rend une décision, le recours devient sans objet, sous réserve de l'examen du droit aux dépens, lequel doit tenir compte de l'issue probable du litige (ATF 125 V 373).</w:t>
      </w:r>
    </w:p>
    <w:p>
      <w:r>
        <w:rPr>
          <w:b/>
        </w:rPr>
        <w:t>E. 5</w:t>
      </w:r>
    </w:p>
    <w:p>
      <w:r>
        <w:t>a. 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l'OAI, neuf mois après un jugement lui ordonnant de mettre en place une expertise, n'avait pas encore entrepris de démarches en ce sens (ATAS/430/2005 du</w:t>
      </w:r>
    </w:p>
    <w:p>
      <w:r>
        <w:rPr>
          <w:b/>
        </w:rPr>
        <w:t>E. 10</w:t>
      </w:r>
    </w:p>
    <w:p>
      <w:r>
        <w:t>mai 2005); - l'OAI avait attendu quatorze mois depuis l'opposition de l'assuré au projet pour mettre en œuvre une expertise multidisciplinaire à laquelle l'assuré avait conclu d'emblée (ATAS/484/2007 du 9 mai 2007);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l'OAI avait ordonné un complément d'expertise dix-sept mois après avoir obtenu les renseignements des médecins traitants (ATAS/860/2006 du 2 octobre 2006); - une nouvelle décision avait été rendue dix-huit mois après que la cause ait été renvoyée à l'office à la suite de l'admission partielle du recours (ATAS/62/2007 du 24 janvier 2007);</w:t>
      </w:r>
    </w:p>
    <w:p>
      <w:r>
        <w:t>A/4489/2019 - 6/9 -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 un recourant qui était sans nouvelle de l'OAI vingt et un mois après le dépôt d'une demande de révision (ATAS/860/2006 du 2 octobre 2006).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(ATAS/1116/2013 du 18 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onze mois s’étaient écoulés entre la date à laquelle le recourant avait fait opposition et la date à laquelle le SPC avait formellement rendu une décision; le curateur du recourant ne s’était pas montré très actif et la décision du SPC avait statué non pas sur une mais sur quatre oppositions (ATAS/683/2018 du 9 août 2018). - l'assurance-accidents n'avait pas versé de prestations à la suite d'une rechute annoncée quinze mois auparavant étant donné que les parties avaient échangé des courriers pendant treize mois dans le but d'aboutir à une solution transactionnelle (ATAS/264/2014 du 5 mars 2014). b. 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w:t>
      </w:r>
    </w:p>
    <w:p>
      <w:r>
        <w:t>A/4489/2019 - 7/9 - chevauchement des indemnités journalières avec le droit à la rente (arrêt du Tribunal fédéral des assurances I 241/04 du 15 juin 2006);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l'assurance-accidents, soumission du cas au médecin- conseil, examen de divers problèmes: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oeuvre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w:t>
      </w:r>
    </w:p>
    <w:p>
      <w:r>
        <w:t>A/4489/2019 - 8/9 - - une cause était pendante depuis trente-trois mois et en état d'être jugée depuis vingt-sept mois (ATF 125 V 373). 6. En l’espèce, le recours pour déni de justice est devenu sans objet suite à la reddition par l’intimé de la décision sur opposition du 18 décembre 2019. La recourante étant toutefois représentée par un conseil, il sied d’examiner si les chances de succès du procès justifient le remboursement de ses frais et dépens. En l’occurrence, il apparaît qu’il s’est écoulé un peu plus de onze mois entre l’opposition de la recourante le 14 janvier 2019 et la décision sur opposition du SPC le 18 décembre 2019. Par ailleurs, il est vrai que le dossier ne revêt pas une complexité particulière. Toutefois, on constatera que la recourante a attendu presque 8 mois pour relancer le SPC par courrier du 4 novembre 2019, depuis son entretien téléphonique du 6 mars 2019. Par conséquent, bien qu’un délai de onze mois soit assez long, il n’est pas constitutif en l’espèce d’un déni de justice (à cet égard, arrêt ATAS/683/2018 du 9 août 2019). Enfin, l’art. 52 al. 1 LPA prévoit un délai de 60 jours pour statuer sur opposition. Il s’agit toutefois là d’un simple délai d’ordre. Qui plus est, aucun délai similaire ne ressort ni de la LPGA, ni de la loi fédérale sur la procédure administrative du 20 décembre 1968 (PA - RS 172.021). Partant, un déni de justice n’est pas réalisé. Il n’y a dès lors pas lieu d’allouer de dépens à la recourante. 7. La procédure est gratuite (art. 61 let. a LPGA).</w:t>
      </w:r>
    </w:p>
    <w:p>
      <w:r>
        <w:t>A/4489/2019 - 9/9 -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