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ATAS/220/2016 vom 16. März 2016</w:t>
      </w:r>
    </w:p>
    <w:p>
      <w:r>
        <w:t>GE Cour de justice, 2016-03-16, FR</w:t>
      </w:r>
    </w:p>
    <w:p>
      <w:r>
        <w:rPr>
          <w:b/>
        </w:rPr>
        <w:t xml:space="preserve">Quelle: </w:t>
      </w:r>
      <w:r>
        <w:t>https://mcp.opencaselaw.ch/entscheid/ge_gerichte_ATAS_220_2016</w:t>
      </w:r>
    </w:p>
    <w:p>
      <w:r>
        <w:t>FR: GE_GERICHTE ATAS/220/2016 du 16 mars 2016</w:t>
      </w:r>
    </w:p>
    <w:p>
      <w:r>
        <w:t>IT: GE_GERICHTE ATAS/220/2016 del 16 marzo 2016</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et la LPCC ont connu plusieurs modifications concernant le montant des revenus déterminants, entrées en vigueur le 1er janvier 2008 et le 1er janvier 2011. En cas de changement de règles de droit, sont en principe applicables du point de vue temporel les règles de droit en vigueur au moment où les faits juridiquement déterminants se sont produits (ATF 132 V 215 consid. 3.1.1 et les références),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2007 consid. 1.2). Par conséquent, au vu des faits pertinents, le droit aux prestations complémentaires se détermine selon les dispositions légales en vigueur dès le 1er janvier 2011 (ATF 132 V 215 consid. 3.1.1; ATF 127 V 466 consid.1; arrêt du Tribunal fédéral 9C_935/2010 du 18 février 2011 consid. 2).</w:t>
      </w:r>
    </w:p>
    <w:p>
      <w:r>
        <w:rPr>
          <w:b/>
        </w:rPr>
        <w:t>E. 4</w:t>
      </w:r>
    </w:p>
    <w:p>
      <w:r>
        <w:t>Le délai de recours est de 30 jours (art. 62 al. 1 de la de loi sur la procédure administrative du 12 septembre 1985 [LPA - E 5 10]; art. 9 de la loi cantonale du 14 octobre 1965 sur les prestations fédérales complémentaires à l’assurance- vieillesse et survivants et à l’assurance-invalidité [LPFC; RSG J 4 20]; art. 43 LPCC). Interjeté dans la forme et le délai prévus par la loi, le recours est en recevable (art. 62 ss LPA).</w:t>
      </w:r>
    </w:p>
    <w:p>
      <w:r>
        <w:rPr>
          <w:b/>
        </w:rPr>
        <w:t>E. 5</w:t>
      </w:r>
    </w:p>
    <w:p>
      <w:r>
        <w:t>La qualité pour agir du recourant a déjà été abordée dans l’ordonnance d’expertise du 26 septembre 2014. Il y a lieu de préciser qu’à teneur de l’art. 60 al. 1 LPA, ont qualité pour recourir notamment les parties à la procédure qui a abouti à la décision attaquée (let. a) et toute personne qui est touchée directement par une décision et a un intérêt</w:t>
      </w:r>
    </w:p>
    <w:p>
      <w:r>
        <w:t>A/3678/2013 - 11/19 - personnel digne de protection à ce qu’elle soit annulée ou modifiée (let. b). Quant à l’art 59 LPGA, il prévoit que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38 consid. 2b; voir aussi ATF 121 II 171 consid. 2b). L’intérêt doit être direct et concret; en particulier, la personne doit se trouver dans un rapport suffisamment étroit avec la décision, tel n’étant pas le cas de celui qui n’est atteint que de manière indirecte ou médiate (ATF 125 V 339 consid. 4a). En l’espèce, le recourant n’est pas le bénéficiaire du droit aux prestations complémentaires, puisqu’un tel droit est conditionné à l’existence d’une rente d’invalidité ou de vieillesse (art. 4 al. 1 let. a et c LPC). Étant donné qu’en l’absence de qualité pour former opposition, le recourant n’a pas davantage la qualité pour recourir contre la décision sur opposition auprès de la juridiction cantonale (arrêt du Tribunal fédéral I 91/05 du 29 décembre 2005 consid. 1), il y a lieu d’examiner à titre préalable si le recourant avait la qualité pour former opposition contre la décision refusant le réexamen du droit aux prestations complémentaires. La qualité pour former opposition doit être jugée de la même manière que dans la procédure de recours de première instance selon l’art. 59 LPGA (ATF 130 V 560 consid. 3.2). En l’occurrence, même si formellement c’est le conjoint qui a fait la demande de réexamen du 26 juin 2013, l’intimé aurait dû émettre au nom de l’assurée la décision du 16 août 2013 qui maintient la prise en compte d’un gain potentiel du conjoint dès lors que celle-ci avait contresigné la demande de réexamen et qu’elle seule est bénéficiaire du droit aux prestations complémentaires. Quoi qu’il en soit, dans la mesure où il était touché par ladite décision dès lors qu’elle lui reconnaît une capacité de gain exploitable sur le marché du travail et qu’il a un intérêt direct et concret digne de protection, le recourant était en droit de former opposition à ladite décision. Par conséquent, la qualité pour recourir doit également lui être reconnue ce d’autant plus qu’en raison de l’erreur de l’intimé sur l’identité du destinataire de la décision, il est partie à la procédure ayant abouti à la décision dont est recours.</w:t>
      </w:r>
    </w:p>
    <w:p>
      <w:r>
        <w:rPr>
          <w:b/>
        </w:rPr>
        <w:t>E. 6</w:t>
      </w:r>
    </w:p>
    <w:p>
      <w:r>
        <w:t>a) La demande de réexamen du 26 juin 2013 qui est à l’origine de la présente procédure de recours fait suite à la décision sur opposition du 5 mars 2013 - entrée</w:t>
      </w:r>
    </w:p>
    <w:p>
      <w:r>
        <w:t>A/3678/2013 - 12/19 - en force - admettant qu’un gain hypothétique de l’époux a été comptabilisé à juste titre dès lors que l’OAI ne lui a pas reconnu le droit à une rente d’invalidité. L’intimé a traité cette demande sous l’angle de l’art. 17 LPGA et a considéré qu’elle était recevable. b) La révision procédurale et la reconsidération sont réglées respectivement aux al. 1 et 2 de l'art. 53 LPGA.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Par analogie avec la révision des décisions rendues par les autorités judiciaires, l'administration est ainsi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(ATF 127 V 466 consid. 2c et les références; SVR 2004 ALV n° 14 p. 43 sv. consid. 3, C 227/03). Par ailleurs, l'administration peut reconsidérer une décision formellement passée en force de chose jugée sur laquelle aucune autorité judiciaire ne s'est prononcée, à condition qu'elle soit sans nul doute erronée et que sa rectification revête une importance notable. Il n'existe toutefois pas de droit à la reconsidération que l'assuré pourrait déduire en justice (SVR 2004 ALV n° 1 p. 2 consid. 2, C 7/02). c) Ces situations sont à distinguer de la révision au sens de l'art. 17 al. 2 LPGA, qui prévoit que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En matière de prestations complémentaires, l'art. 25 OPC-AVS/AI permet d'adapter une décision de prestations à des modifications postérieures de la situation personnelle et économique de l'assuré en raison d'un changement de circonstances (arrêt du Tribunal fédéral 8C_133/2008 du 15 juillet 2008 consid. 3.1). L’art. 17 al. 2 LPGA exige une modification notable des circonstances dépendant de l’octroi de prestations durables. Selon Ueli Kieser (ATSG-Kommentar, 2e édition 2009, notes 42 et 43 ad art. 17), la condition réside dans l’importance de la modification de l’état de fait. Ladite modification implique une incidence sur le droit aux prestations, de telle sorte que la modification du droit ne soit pas seulement minime. La question de savoir si cette limite est atteinte se détermine d’après le droit concret aux prestations, soit dans le domaine des prestations complémentaires pour autant qu’il y ait une modification du droit annuel aux</w:t>
      </w:r>
    </w:p>
    <w:p>
      <w:r>
        <w:t>A/3678/2013 - 13/19 - prestations de CHF 120.-. En outre, s’agissant de la révision des prestations durables valent également les principes qui ont été développés concernant la révision de la rente d’invalidité, à savoir en particulier le moment de comparaison déterminant.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À l’appui de sa demande de réexamen du 26 juin 2013, le recourant a fait valoir qu’il est en incapacité de travail et qu’on voit mal aujourd’hui comment un retour au travail pourrait être exigé de sa part. Il a sollicité une nouvelle appréciation de son cas et de celui de l’assurée. En l’absence de conclusions sur l’effet temporel (rétroactif ou pour le futur) de la demande de réexamen, il convient d’interpréter cette demande en fonction de son contexte. Les pièces jointes consistent en certificats médicaux attestant une incapacité de travail entière en mai 2013, un rapport du Dr D______ du 25 juin 2013 faisant état d’éléments persécutifs vagues, d’un aspect sinistrosique et de troubles chroniques s’organisant en boucle, enfin, un complément de recours du 17 juin 2013 contre la décision de refus de l’OAI d’entrer en matière sur sa nouvelle demande de rente du 20 août 2012. Étant donné que les certificats médicaux concernent l’incapacité de travail du mois de mai 2013 et que la demande de réexamen a été déposée parallèlement au recours formé dans le cadre de la procédure de l’assurance- invalidité, il faut admettre que le recourant ne sollicite en réalité ni une révision (procédurale) ni une reconsidération de la décision initiale, mais une révision matérielle, au sens des art. 17 al. 2 LPGA et 25 OPC-AVS/AI, du droit de l’assurée aux prestations complémentaires à compter du 1er juin 2013 en raison d’une aggravation de son état de santé. Par conséquent, l’objet du litige porte sur le droit du recourant à obtenir un nouveau calcul des prestations complémentaires de son épouse dès le 1er juin 2013, respectivement sur la question de savoir si l’intimé a pris en compte à juste titre un gain potentiel le concernant.</w:t>
      </w:r>
    </w:p>
    <w:p>
      <w:r>
        <w:rPr>
          <w:b/>
        </w:rPr>
        <w:t>E. 8</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ou ont droit à une rente de l’AI (art. 4 al. 1 let. a et c LPC).</w:t>
      </w:r>
    </w:p>
    <w:p>
      <w:r>
        <w:t>A/3678/2013 - 14/19 -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En matière de prestations complémentaires cantonales, le revenu déterminant est calculé conformément aux règles fixées dans la loi fédérale et des dispositions d’exécution, moyennant certaines adaptations (cf. art. 5 al. 1 LPCC). Par dessaisissement, il faut entendre, en particulier, la renonciation à des éléments de revenu ou de fortune sans obligation juridique ni contre-prestation équivalente (ATF 123 V 35 consid. 1; ATF 121 V 204 consid. 4a). Ces deux conditions ne sont pas cumulatives, mais alternatives (ATF 131 V 329 consid. 4.3).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(FERRARI, Dessaisissement volontaire et prestations complémentaires à l'AVS/AI in RSAS 2002, p. 420).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e de la vie professionnelle (ATF 134 V 53 consid. 4.1 et les références).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w:t>
      </w:r>
    </w:p>
    <w:p>
      <w:r>
        <w:t>A/3678/2013 - 15/19 - cet égard. Ainsi tient-on compte, dans le cadre de la fixation d’une contribution d’entretien, de la nécessité éventuelle d’une insertion ou réinsertion professionnelle (art. 125 al. 2 let. ch. 7 CC). Dans la pratique, cela se traduit régulièrement sous la forme de contribution d’entretien limitées dans le temps ou dégressives (ATF 115 II 431 consid. 5 et ATF 114 II 303 consid. 3d ainsi que les références). Sous l’angle du calcul PC, les principes susévoqués peuvent être mis en oeuvre, s’agissant de la reprise ou de l’extension d’une activité lucrative, par l’octroi à la personne concernée d’une période – réaliste – d’adaptation, avant d’envisager la prise en compte d’un revenu hypothétique (VSI 2/2001 p. 126 consid. 1b). En ce qui concerne le critère de la mise en valeur de la capacité de gain sur le marché de l’emploi, le Tribunal fédéral des assurances (ci-après : TFA) a considéré qu’il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(arrêts du Tribunal fédéral 8C_655/2007 du 26 juin 2008,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9C_30/2009 du 6 octobre 2009 consid. 4.2 et P 88/01du 8 octobre 2002). Ainsi, aucun revenu hypothétique n’est pris en compte si le conjoint non invalide peut faire valoir notamment que malgré tous ses efforts, il ne trouve aucun emploi. Cette hypothèse peut être considérée comme réalisée lorsqu’il s’est adressé à un ORP et prouve que ses recherches d’emploi sont suffisantes qualitativement et quantitativement ou lorsqu’il touche des allocations de chômage (cf. ch. 3482/03 des directives concernant les prestations complémentaires à l’AVS et à l’AI de l’office fédéral des assurances sociales - DPC).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A/3678/2013 - 16/19 -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10</w:t>
      </w:r>
    </w:p>
    <w:p>
      <w:r>
        <w:t>Il convient d’examiner si l’intimé a rejeté à juste titre la demande de révision et détrminer si, comme le soutient le recourant, une aggravation de son état de santé est intervenue justifiant un nouvel examen du droit aux prestations complémentaires. Selon la jurisprudence,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Fait exception une modification de l’état de santé survenue avant l’émission de la décision ou de la décision sur opposition, qui peut être prise en considération selon les circonstances également lorsqu’elle n’était pas encore connue de l’administration au moment de la décision ou de la décision sur opposition ou n’était pas encore vraisemblable de façon prépondérante et, par conséquent, ne formait pas l’objet de cette décision. En effet, tant qu’une modification de l’état de santé au moment déterminant n’est pas ou pas encore vraisemblable de façon prépondérante, de nouvelles conclusions déterminantes sur l’état de santé et leurs effets sur la capacité de travail et de gain peuvent être prises en considération aussi bien dans le cadre d’une procédure de révision en assurance-invalidité que dans une procédure de révision des prestations complémentaires selon l’art. 25 LPC. Selon le texte clair de l’art. 4 al. 1 let. c LPC, une atteinte à la santé relevante pour le droit aux prestations en assurance-invalidité déclenche seulement le droit aux prestations complémentaires (arrêt du Tribunal fédéral 8C_172/2007 du 6 février 2008 consid. 7.1).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des assurances</w:t>
      </w:r>
    </w:p>
    <w:p>
      <w:r>
        <w:t>A/3678/2013 - 17/19 -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du Tribunal fédéral 8C_172/2007 du 6 février 2008 consid. 7.2; arrêt du Tribunal fédéral 9C_255/2010 du 21 janvier 2011 consid. 4.3).</w:t>
      </w:r>
    </w:p>
    <w:p>
      <w:r>
        <w:rPr>
          <w:b/>
        </w:rPr>
        <w:t>E. 11</w:t>
      </w:r>
    </w:p>
    <w:p>
      <w:r>
        <w:t>En l’espèce, par décision du 10 avril 2008 entrée en force, l’OAI a considéré que le recourant disposait d’une capacité de travail entière dans l’activité habituelle comme dans une activité adaptée. Toutefois, étant donné que le recourant n’a pas été reconnu partiellement invalide par l’OAI et qu’il invoque une aggravation de son état de santé depuis l’entrée en force de ladite décision, au vu de la jurisprudence susmentionnée, il appartenait à l’intimé de se prononcer de façon autonome sur la situation médicale. En effet, au vu des observations du Dr D______, on pouvait se demander si l’état de santé du recourant ne s’est pas aggravé au point de correspondre au diagnostic différentiel posé en 2006 par le Dr J______ (phase prodromique de la schizophrénie versus caractéristiques psychotiques associées à l’état dépressif majeur). Au vu du comportement déconcertant du recourant lors des audiences et des déclarations des Drs D______ et E______, la chambre de céans, par économie de procédure, a mis en œuvre une expertise bi-disciplinaire rhumatologique et psychiatrique du recourant. Or, force est de constater à la lecture de l’expertise judicaire, que les experts n’ont pas été en mesure de répondre aux questions posées, notamment quant aux diagnostics et la capacité de travail. Le recourant a présenté de tels troubles du comportement que l’examen clinique rhumatologique n’a pas été possible. L’expertisé n’a pas collaboré, il a tenu des propos incohérents, de sorte que l’anamnèse n’a pas été possible. Enfin, il a adopté un comportement inadéquat par des gestes agressifs (jette des assiettes par terre, déchire les boutons de sa chemise, avale compulsivement des comprimés, déclare qu’il veut tuer quatre personnes, etc.), à tel point que les experts ont dû écourter l’entretien. L’expert psychiatre a diagnostiqué un trouble du comportement, sans précision. Il a expliqué que plusieurs hypothèses pouvaient être émises à propos des troubles constatés, mais qu’il ne pouvait pas exclure qu’il s’agisse d’un comportement simulé, adopté dans l’intention délibérée d’abuser les investigateurs. Il en était réduit à la spéculation et ne pouvait pas trancher entre les différentes hypothèses. En définitive, les experts ne pouvaient pas répondre aux questions posées et seule une observation prolongée en milieu hospitalier, voire une enquête externe, pourrait aider à clarifier la situation et permettrait éventuellement de poser des diagnostics psychiatriques et d’apprécier la capacité de travail du recourant. La chambre de céans ne peut toutefois ordonner une telle mesure.</w:t>
      </w:r>
    </w:p>
    <w:p>
      <w:r>
        <w:t>A/3678/2013 - 18/19 - Dans ces circonstances, il convient d’admettre que l’incapacité de travail pour des raisons médicales du recourant n’est pas établie au degré de la vraisemblance prépondérante requise en matière d’assurances sociales, de sorte que la chambre de céans ne peut que rejeter le recours.</w:t>
      </w:r>
    </w:p>
    <w:p>
      <w:r>
        <w:rPr>
          <w:b/>
        </w:rPr>
        <w:t>E. 12</w:t>
      </w:r>
    </w:p>
    <w:p>
      <w:r>
        <w:t>Au vu de ce qui précède, le recours doit être rejeté.</w:t>
      </w:r>
    </w:p>
    <w:p>
      <w:r>
        <w:rPr>
          <w:b/>
        </w:rPr>
        <w:t>E. 13</w:t>
      </w:r>
    </w:p>
    <w:p>
      <w:r>
        <w:t>Pour le surplus, la procédure est gratuite (art. 61 let. a LPGA).</w:t>
      </w:r>
    </w:p>
    <w:p>
      <w:r>
        <w:t>A/3678/2013 - 19/19 -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