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ATAS/21/2015 vom 14. Januar 2015</w:t>
      </w:r>
    </w:p>
    <w:p>
      <w:r>
        <w:t>GE Cour de justice, 2015-01-14, FR</w:t>
      </w:r>
    </w:p>
    <w:p>
      <w:r>
        <w:rPr>
          <w:b/>
        </w:rPr>
        <w:t xml:space="preserve">Quelle: </w:t>
      </w:r>
      <w:r>
        <w:t>https://mcp.opencaselaw.ch/entscheid/ge_gerichte_ATAS_21_2015</w:t>
      </w:r>
    </w:p>
    <w:p>
      <w:r>
        <w:t>FR: GE_GERICHTE ATAS/21/2015 du 14 janvier 2015</w:t>
      </w:r>
    </w:p>
    <w:p>
      <w:r>
        <w:t>IT: GE_GERICHTE ATAS/21/2015 del 14 gennaio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A/3223/2014 - 6/10 -</w:t>
      </w:r>
    </w:p>
    <w:p>
      <w:r>
        <w:rPr>
          <w:b/>
        </w:rPr>
        <w:t>E. 2</w:t>
      </w:r>
    </w:p>
    <w:p>
      <w:r>
        <w:t>Interjeté dans les délai et forme prescrits par la loi, le recours est recevable (art. 56 ss LPGA).</w:t>
      </w:r>
    </w:p>
    <w:p>
      <w:r>
        <w:rPr>
          <w:b/>
        </w:rPr>
        <w:t>E. 3</w:t>
      </w:r>
    </w:p>
    <w:p>
      <w:r>
        <w:t>L’objet du litige porte sur la question de savoir si la recourante présente une invalidité lui ouvrant le droit aux prestations.</w:t>
      </w:r>
    </w:p>
    <w:p>
      <w:r>
        <w:rPr>
          <w:b/>
        </w:rPr>
        <w:t>E. 4</w:t>
      </w:r>
    </w:p>
    <w:p>
      <w:r>
        <w:t>Est réputée invalidité, l'incapacité de gain totale ou partielle présumée permanente ou de longue durée, résultant d'une infirmité congénitale, d'une maladie ou d'un accident (art. 8 al. 1 LPGA et 4 al. 1 LAI). Aux termes de l’art. 8 al. 3 LPGA, les assurés majeurs qui n’exerçaient pas d’activité lucrative avant d’être atteints dans leur santé physique, mentale ou psychique et dont il ne peut être exigé qu’ils en exercent une, sont réputés invalides si l’atteinte les empêche d’accomplir leurs travaux habituels.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Par travaux habituels des assurés travaillant dans le ménage, il faut entendre notamment l’activité usuelle dans le ménage, l’éducation des enfants ainsi que toute activité artistique ou d’utilité publique (art. 27 1ère phrase RAI).</w:t>
      </w:r>
    </w:p>
    <w:p>
      <w:r>
        <w:rPr>
          <w:b/>
        </w:rPr>
        <w:t>E. 5</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w:t>
      </w:r>
    </w:p>
    <w:p>
      <w:r>
        <w:t>A/3223/2014 - 7/10 - priorité d’entrée de jeu (ATF 117 V 194 consid. 3b; Pratique VSI 1997 p. 301 ss consid. 2b).</w:t>
      </w:r>
    </w:p>
    <w:p>
      <w:r>
        <w:rPr>
          <w:b/>
        </w:rPr>
        <w:t>E. 6</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9</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A/3223/2014 - 8/10 - écarter aussi longtemps qu'aucun indice concret ne permet de douter de leur bien- fondé (ATF 125 V 351 consid. 3b/bb).</w:t>
      </w:r>
    </w:p>
    <w:p>
      <w:r>
        <w:rPr>
          <w:b/>
        </w:rPr>
        <w:t>E. 10</w:t>
      </w:r>
    </w:p>
    <w:p>
      <w:r>
        <w:t>En l’occurrence, se pose en premier lieu la question du statut de la recourante. Il convient ainsi de déterminer ce que celle-ci aurait fait dans les mêmes circonstances, si elle était en bonne santé. Aurait-elle repris une activité lucrative ou serait-elle restée à la maison pour s'occuper de ses enfants? Même en parfaite santé, il ne fait pas de doute en l'espèce que la recourante se serait consacrée aux soins et à l'éducation de ses enfants, dans la mesure où leurs maladies et les soins qu’ils requièrent sont totalement incompatibles avec l’exercice d’une activité lucrative. En effet, comme il est relevé par les médecins, son fils cadet fait régulièrement des crises d’épilepsie, pendant lesquelles il doit être gardé à domicile. De surcroît, aucune prise en charge n’est prévue pendant les vacances scolaires, dont la durée dépasse largement le droit aux vacances légal d’un salarié. Au vu des angoisses du fils cadet, il ne paraît pas non plus possible de remplacer la recourante par une autre personne. Enfin, elle doit s’occuper aussi de son fils aîné qui est gravement malade. Les juridictions civiles ont ainsi retenu qu'il ne peut être exigé que la recourante reprenne une activité professionnelle et ont fixé les contributions de l'ex-époux à l'entretien de la recourante en fonction de cette circonstance. A l'instar d'une personne ayant à la charge beaucoup d'enfants en bas âge, il ne peut donc être admis que la recourante aurait travaillé, si elle était en bonne santé.</w:t>
      </w:r>
    </w:p>
    <w:p>
      <w:r>
        <w:rPr>
          <w:b/>
        </w:rPr>
        <w:t>E. 11</w:t>
      </w:r>
    </w:p>
    <w:p>
      <w:r>
        <w:t>Cela étant, la capacité de travail de la recourante doit être évaluée dans le cadre de ses activités habituelles consacrées à son ménage, à l’éducation et aux soins donnés aux enfants. Or, à ce niveau, aucune incapacité de travail n’est alléguée, ni par la recourante ni par ses médecins. Au contraire, la recourante est en mesure de s’occuper parfaitement des différents problèmes que présentent ses enfants et a même été capable de suivre des formations pour mieux aider son fils cadet, comme cela résulte du certificat du 9 septembre 2014 de la Dresse G______. Par conséquent, aucune invalidité ne peut être reconnue dans la sphère de l’activité habituelle.</w:t>
      </w:r>
    </w:p>
    <w:p>
      <w:r>
        <w:rPr>
          <w:b/>
        </w:rPr>
        <w:t>E. 12</w:t>
      </w:r>
    </w:p>
    <w:p>
      <w:r>
        <w:t>Pour le surplus, même en reconnaissant à la recourante le statut d’une salariée, il ne pourrait être reconnu qu'elle souffre d’une atteinte psychiatrique ou somatique invalidante, au vu de l’expertise du Dr F______. Celui-ci a en effet écarté toute pathologie psychiatrique avec répercussion sur la capacité de travail. A cet égard, il convient de relever que cette expertise revêt une pleine valeur probante, ce médecin ayant établi son expertise en pleine connaissance du dossier de la recourante, mentionné ses plaintes et procédé à un entretien approfondi. L’expert a abouti enfin à des résultats convaincants. En particulier, il n’y a aucun indice concret permettant de douter de leur bienfondé. Comme relevé ci-dessus, la recourante est parfaitement à même de s’occuper de ses enfants avec leurs multiples</w:t>
      </w:r>
    </w:p>
    <w:p>
      <w:r>
        <w:t>A/3223/2014 - 9/10 - problèmes extrêmement astreignants. Or, en cas de trouble dépressif majeur ou d'une autre maladie invalidante, elle ne serait assurément pas en mesure de faire face aussi bien à cette situation, de sorte que l’aide d’un tiers aurait été indispensable pour suppléer à ses carences. Ainsi, l’état de fatigue sévère chronique et la tension psychique extrême en permanence, dont fait état le Dr D______ dans un certificat du 15 décembre 2014, n’engendrent en l’état pas une incapacité de travail. Du reste, la recourante se prévaut dans son recours essentiellement non pas de ses propres maladies, mais de celles de ses enfants pour justifier son incapacité de reprendre une activité lucrative. Il en va de même de ses médecins. Ainsi, le Dr D______ atteste le 21 avril 2012 que la recourante est pour le moment dans l’incapacité prolongée de travailler, en attendant qu’une institution s’engage durablement à prendre en charge son fils cadet. Or, la loi prescrit que ce sont les maladies du requérant des prestations qui doivent entraver la capacité de travail et non pas celles des personnes à sa charge. A défaut, une invalidité devrait être reconnue à une personne qui doit garder un proche gravement malade, en attendant qu'il puisse être placé en institution. Par conséquent, même dans l’hypothèse, non réalisée en l’espèce, où la recourante devrait être considérée comme une salariée, une invalidité devrait être niée, dans la mesure où elle ne présente pas elle-même une maladie avec influence sur la capacité de travail.</w:t>
      </w:r>
    </w:p>
    <w:p>
      <w:r>
        <w:rPr>
          <w:b/>
        </w:rPr>
        <w:t>E. 13</w:t>
      </w:r>
    </w:p>
    <w:p>
      <w:r>
        <w:t>Au vu de ce qui précède, le recours sera rejeté.</w:t>
      </w:r>
    </w:p>
    <w:p>
      <w:r>
        <w:rPr>
          <w:b/>
        </w:rPr>
        <w:t>E. 14</w:t>
      </w:r>
    </w:p>
    <w:p>
      <w:r>
        <w:t>Dans la mesure où la recourante est soutenue par l'Hospice général, il sied de renoncer à percevoir un émolument de justice.</w:t>
      </w:r>
    </w:p>
    <w:p>
      <w:r>
        <w:t>A/3223/2014 - 10/10 -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