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ATAS/219/2017 vom 21. März 2017</w:t>
      </w:r>
    </w:p>
    <w:p>
      <w:r>
        <w:t>GE Cour de justice, 2017-03-21, FR</w:t>
      </w:r>
    </w:p>
    <w:p>
      <w:r>
        <w:rPr>
          <w:b/>
        </w:rPr>
        <w:t xml:space="preserve">Quelle: </w:t>
      </w:r>
      <w:r>
        <w:t>https://mcp.opencaselaw.ch/entscheid/ge_gerichte_ATAS_219_2017</w:t>
      </w:r>
    </w:p>
    <w:p>
      <w:r>
        <w:t>FR: GE_GERICHTE ATAS/219/2017 du 21 mars 2017</w:t>
      </w:r>
    </w:p>
    <w:p>
      <w:r>
        <w:t>IT: GE_GERICHTE ATAS/219/2017 del 21 marzo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Déposé le 25 avril 2016 contre une décision datée du 8 mars 2016, notifiée apparemment par pli simple, reçue au plus tôt le 9 mars 2016, le recours a été interjeté en temps utile, compte tenu du fait que le délai de recours a été suspendu du 20 mars au 3 avril 2010 (soit du 7ème jour avant au 7ème jour après le dimanche de Pâques 27 mars 2016) et que son échéance, tombée dans l’hypothèse d’une notification le 9 mars 2016 sur le samedi 23 avril 2016, a le cas échéant été reportée au lundi 25 avril 2016 (art. 38 al. 3 et 4 let. a et 60 LPGA). Il satisfait aux exigences de forme et de contenu prescrites par l’art. 61 let. b LPGA (cf. aussi art. 89B LPA). Touché par ladite décision et ayant un intérêt digne de protection à son annulation ou sa modification, le recourant a qualité pour recourir contre cette décision (art.59 LPGA). Le recours sera donc déclaré recevable.</w:t>
      </w:r>
    </w:p>
    <w:p>
      <w:r>
        <w:rPr>
          <w:b/>
        </w:rPr>
        <w:t>E. 2</w:t>
      </w:r>
    </w:p>
    <w:p>
      <w:r>
        <w:t>a. Le recourant fait grief à l’intimé notamment d’avoir violé ses obligations d’instruire suffisamment sa demande de prestations de l’AI. Il sied de rappeler quelques principes régissant la procédure en matière d’assurances sociales, sans préjudice de l’applicabilité, dans cette matière, des garanties constitutionnelles</w:t>
      </w:r>
    </w:p>
    <w:p>
      <w:r>
        <w:t>A/1265/2016 - 11/20 - générales de procédure (art. 29 de la Constitution fédérale de la Confédération suisse du 18 avril 1999 - Cst. - RS 101 ; Andreas AUER / Giorgio MALINVERNI / Michel HOTTELIER, Droit constitutionnel suisse, 3ème éd., 2013, vol. I, n. 1317 ss ; Pierre MOOR / Étienne POLTIER, Droit administratif, vol. II, 2011, p. 311 ; Thierry TANQUEREL, Manuel de droit administratif, 2011, n. 1526 ss).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 Michel VALTERIO, Droit de l’assurance-vieillesse et survivants et de l’assurance-invalidité. Commentaire thématique, 2011, n. 2623 et 2862 ss). En matière d’AI, la législation prévoit notamment que les offices AI ont, au nombre de leurs attributions, celle de se prononcer sur le droit des assurés aux prestations de l’AI (art. 57 LAI), dont celle d’évaluer l’invalidité (art. 57 let. f LAI), et qu’il leur faut s’organiser de manière à remplir leurs tâches avec compétence et efficacité, dans le respect du droit (art. 59 al. 1 LAI), notamment en mettant en place des services médicaux régionaux interdisciplinaires (art. 59 al. 2 LAI), à leur disposition pour évaluer les conditions médicales du droit aux prestations (art. 59 al. 2bis LAI). À propos de l’instruction des demandes, l’art. 69 al. 2 et 3 du règlement du 17 janvier 1961 sur l’assurance-invalidité du 17 janvier 1961 (RAI - RS 831.201) précise notamment que les offices AI réunissent les pièces nécessaires, en particulier sur l’état de santé des requérants, leur activité, leur capacité de travail et leur aptitude à être réadaptés ; ils peuvent exiger des rapports ou des renseignements, des expertises ou des enquêtes sur place, convoquer les assurés à des entretiens. De leur côté,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Une telle manière de procéder ne viole pas le droit d’être entendu selon l’art. 29 al. 2 Cst (SVR 2001 IV n. 10</w:t>
      </w:r>
    </w:p>
    <w:p>
      <w:r>
        <w:t>A/1265/2016 - 12/20 - p. 28 consid. 4b), la jurisprudence rendue sous l’empire de l’art. 4 aCst. étant toujours valable (ATF 124 V 90 consid. 4b ; 122 V 157 consid. 1d). c. Comme l’administration, le juge des assurances sociales apprécie librement les preuves, sans être lié par des règles formelles (art. 61 let. c in fine LPGA ; cf. aussi consid. 4c).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S’agissant de la LAI, dès lors que la demande de prestations de l’AI est intervenue en l’espèce le 17 décembre 2014 et que, de façon non contestée, le droit revendiqué à une rente d’invalidité ne peut avoir pris naissance au plus tôt avant l’échéance d’un délai de six mois à compter de cette date (art. 29 al. 1 LAI), le droit applicable est en l’espèce le droit actuellement en vigueur, résultant de la dernière révision de la LAI, dite 6a du 18 mars 2011, entrée en vigueur le 1er janvier 2012. Au demeurant, à l’instar d’ailleurs des révisions précédentes de la LAI – à savoir celles des 21 mars 2003 [4ème révision] et 6 octobre 2006 [5ème révision], entrées en vigueur respectivement les 1er janvier 2004 et 1er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 invalidité du 22 juin 2005, FF 2005 p. 4322). S’agissant des dispositions de la LPGA, qui s'appliquent à l'assurance-invalidité à moins que la loi n'y déroge expressément (art. 1 al. 1 LAI), il sied de préciser qu’à l’instar de la LPGA elle-même dans son ensemble, elles consacrent, en règle</w:t>
      </w:r>
    </w:p>
    <w:p>
      <w:r>
        <w:t>A/1265/2016 - 13/20 -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Les deux types de prestations (rente et mesures de réadaptation) font référence à la notion d’invalidité.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w:t>
      </w:r>
    </w:p>
    <w:p>
      <w:r>
        <w:t>A/1265/2016 - 14/20 -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qui – tant dans une procédure initiale que dans une procédure de révision – doivent étayer les conclusions à tirer quant à l’existence, la nature, l’intensité et les effets d’atteintes à la santé.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w:t>
      </w:r>
    </w:p>
    <w:p>
      <w:r>
        <w:t>A/1265/2016 - 15/20 -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du 14 juillet 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w:t>
      </w:r>
    </w:p>
    <w:p>
      <w:r>
        <w:t>A/1265/2016 - 16/20 -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5</w:t>
      </w:r>
    </w:p>
    <w:p>
      <w:r>
        <w:t>a. En l’espèce, il appert que l’intimé a arrêté sa position, s’écartant de celle du médecin traitant, sur la base d’un avis médical du SMR exprimé en quelques lignes et émanant d’une pédiatre n’ayant pas ausculté le recourant. Sans doute un autre médecin du SMR, dont il n’est pas même allégué qu’il serait spécialiste d’un des domaines médicaux ici pertinents (et en tout cas pas de celui de la psychiatrie), a émis un avis médical à la suite des objections que le recourant avait émises à l’encontre du projet de décision lui ayant été communiqué par l’intimé ; force est toutefois de dire que cet avis médical se borne, en même pas quatre lignes, à affirmer que le nouveau rapport médical du médecin traitant produit à l’appui desdites objections ne contenait – selon lui – pas d’éléments médicaux susceptibles de modifier les conclusions du premier avis médical, précité, émis par le SMR. Et l’intimé a indiqué se fonder sur cet avis médical pour confirmer sa position annoncée dans son projet de décision. Sans doute le Tribunal fédéral a-t-il indiqué, dans un passage du consid. 3.2 de l’arrêt 9C_149/2008 du 27 octobre 2008, que le fait qu’un médecin ne soit pas titulaire d'une spécialisation en psychiatrie ne justifie pas en soi d'écarter son avis, puisqu'un médecin, quelle que soit sa spécialisation, est en principe en mesure d'émettre un avis sur la cohérence d'un rapport d'un confrère. Cette phrase n’en doit pas moins être lue dans le contexte dudit considérant, par lequel le Tribunal fédéral a avalisé le fait que la juridiction cantonale avait écarté l’avis du SMR. Par ailleurs et surtout, le Tribunal fédéral n’a nullement infléchi, par cet arrêt, la jurisprudence selon laquelle, d’une part, les médecins du SMR doivent disposer des qualifications personnelles et professionnelles requises par le cas (arrêts du Tribunal fédéral 9C_323/2009 du 14 juillet 2009 consid. 4.3.1, I 142/07 du 20 novembre 2007</w:t>
      </w:r>
    </w:p>
    <w:p>
      <w:r>
        <w:t>A/1265/2016 - 17/20 - consid. 3.2.3 et I 362/06 du 10 avril 2007 consid. 3.2.1), et d’autre part ne sauraient émettre de rapports médicaux ayant pleine force probante s’ils ne reposent pas sur des observations cliniques auxquelles au moins un médecin du SMR aurait procédé personnellement (arrêts du Tribunal fédéral 9C_310/2015 du 15 janvier 2016 consid. 6.2 ; 9C_25/2015 du 1er mai 2015 consid. 4.1 ; 9C_578/2009 du 29 décembre 2009 consid. 3.2 in fine). Or, en l’espèce, non seulement il n’est pas même allégué ni a fortiori démontré par l’intimé que les deux médecins de son SMR s’étant prononcés avant que l’intimé n’arrête sa position avaient les qualifications professionnelles requises pour le cas du recourant, mais aussi il est constant que ni l’un ni l’autre n’ont procédé personnellement à des observations cliniques du recourant. Il en va de même, s’agissant à tout le moins de ce second point, des médecins du SMR ayant émis un avis médical sur les rapports médicaux produits par le recourant en cours de procédure contentieuse. Il apparaît. que les deux avis médicaux ultérieurs du SMR ont visé à tenter rétroactivement de justifier les deux premiers. b. De surcroît, aucun des différents rapports du SMR figurant au dossier – à commencer par les deux avis médicaux très sommaires antérieurs à la prise de la décision attaquée – ne remplissent les conditions permettant d’accorder valeur probante à des rapports médicaux, exigence qui vaut aussi pour des avis médicaux du SMR. En effet, ils ne comportent pas d’étude fouillée, ne se fondent pas sur des examens complets, n’apparaissent pas établis en pleine connaissance de cause du dossier et de l’anamnèse, et ne discutent pas d’éventuelles interactions entre des atteintes à la santé physique et psychique. Ils se résument pour l’essentiel en l’affirmation d’atteintes à la santé somatique non invalidantes dans une activité adaptée et la négation d’une atteinte à la santé psychique. Or, déjà dans ses rapports médicaux des 18 janvier et 21 juin 2015, le médecin traitant avait retenu des diagnostics relevant d’atteintes non seulement à la santé physique mais aussi à la santé psychique. Cela ne suffisait certes pas pour que l’intimé retienne une atteinte à la santé psychique incapacitante, mais cela devait le conduire à faire porter ses investigations de façon plus approfondie sur le volet psychiatrique, même si ce n’est qu’ultérieurement, en cours de procédure contentieuse, qu’est ressorti le fait que le recourant avait déjà eu antérieurement, entre 2006 et 2007, des atteintes qualifiées d’épisodes dépressifs d’intensité moyenne à sévère par un psychiatre. Peu importe, par ailleurs, que ce ne soit qu’après le dépôt de son recours que le recourant est allé consulter une psychiatre ; cette dernière a fait état d’un épisode dépressif moyen avec syndrome somatique et d’une personnalité paranoïaque, troubles dont elle a en outre affirmé un caractère incapacitant remontant à 2014, donc bien avant la prise de la décision attaquée. S’il ne suffit pas à lui seul à convaincre de l’existence d’une atteinte à la santé incapacitante au moment où la décision attaquée a été rendue, l’avis de cette psychiatre renforce le constat d’une instruction insuffisante du dossier.</w:t>
      </w:r>
    </w:p>
    <w:p>
      <w:r>
        <w:t>A/1265/2016 - 18/20 - c. Il s’avère d’ailleurs que la Dre J______ s’est trompée en affirmant, dans son avis médical du 12 décembre 2016, que le recourant n’avait jamais été suivi par un psychiatre, et qu’elle a par ailleurs été bien hâtive de dire que la psychiatre faisait mention d’un accident professionnel ne ressortant pas du dossier, sans voir – ainsi que cela ressortait pourtant d’un rapport du 7 novembre 2005 du médecin traitant (joint au rapport de ce dernier du 25 janvier 2016) – qu’il y avait eu ou devoir y avoir eu un dossier ouvert auprès de la SUVA et, en tout état, que ladite psychiatre visait le contexte professionnel (sinon stricto sensu un accident professionnel) dans le cadre duquel les atteintes à la santé physique du recourant s’étaient déclenchées. Sans doute que ledit médecin n’a pas été consciente de la réalité contraire, sur ces deux points. Cela ne conduit pas pour autant à accorder du crédit à sa conclusion que le recourant n’avait jamais eu le cas échéant qu’un trouble anxio-dépressif de nature réactionnelle à la prise de la décision attaquée et qu’il n’y avait pas matière à reconnaître une aggravation de l’état de santé du recourant. Il démontre plutôt les risques d’erreurs liés à une instruction insuffisante d’un dossier, sur le plan médical s’agissant déjà du SMR, comme possiblement sur le plan des conséquences à en déduire pour l’intimé. d. Enfin, il est possible que l’attitude peu coopérante du recourant dans le cadre de la mesure d’orientation et d’aide au placement que l’intimé lui avait accordée a desservi sa cause. Le manque de motivation et d’investissement en question doit assurément rendre prudent dans l’évaluation de la situation médicale et, sous l’angle de l’AI, juridique du recourant, mais il n’en doit pas moins être mis en perspective d’éventuels troubles psychiques que celui-ci paraît présenter.</w:t>
      </w:r>
    </w:p>
    <w:p>
      <w:r>
        <w:rPr>
          <w:b/>
        </w:rPr>
        <w:t>E. 6</w:t>
      </w:r>
    </w:p>
    <w:p>
      <w:r>
        <w:t>En conclusion, le grief du recourant tiré d’une violation de la maxime d’office est bien fondé. Il n’y a pas lieu de remédier aux carences considérées de l’instruction dans le cadre de la procédure de recours, que ce soit par le biais de l’audition des médecins traitants et de ceux du SMR ou celui d’une expertise. L’instruction doit se faire fondamentalement par et devant l’intimé, au surplus sur des bases actualisées. Cela ne signifie pas forcément qu’une expertise médicale pluridisciplinaire doive être ordonnée par l’intimé. Au présent stade du dossier, la chambre de céans n’exclut pas que seul un examen psychiatrique, voire une expertise psychiatrique du recourant puisse suffire, pour autant que les atteintes actuelles à la santé physique du recourant puissent être considérées comme dûment établies et que les interactions entre les différentes atteintes, le cas échéant somatiques et psychiques, apparaissent claires. C’est à l’intimé que reviendra la responsabilité d’en décider.</w:t>
      </w:r>
    </w:p>
    <w:p>
      <w:r>
        <w:rPr>
          <w:b/>
        </w:rPr>
        <w:t>E. 7</w:t>
      </w:r>
    </w:p>
    <w:p>
      <w:r>
        <w:t>a. La chambre de céans admettra donc partiellement le recours, annulera la décision attaquée et renverra la cause à l’intimé pour instruction complémentaire puis nouvelle décision. b. La procédure n’étant pas gratuite en matière de contestations portant sur l’octroi ou le refus de prestations de l’AI devant le tribunal cantonal des assurances</w:t>
      </w:r>
    </w:p>
    <w:p>
      <w:r>
        <w:t>A/1265/2016 - 19/20 - (donc la chambre de céans), en dérogation à l’art. 61 let. a LPGA (art. 69 al. 1bis phr. 1 LAI), il y a lieu de condamner l’intimé au paiement d'un émolument, arrêté en l’espèce à CHF 200.- (art. 69 al. 1bis phr. 2 in fine LAI).</w:t>
      </w:r>
    </w:p>
    <w:p>
      <w:r>
        <w:rPr>
          <w:b/>
        </w:rPr>
        <w:t>E. 8</w:t>
      </w:r>
    </w:p>
    <w:p>
      <w:r>
        <w:t>Le recourant obtenant partiellement gain de cause, une indemnité de CHF 600.- lui sera accordée à titre de participation à ses frais et dépens (art. 61 let. g LPGA ; art. 6 du règlement sur les frais, émoluments et indemnités en procédure administrative du 30 juillet 1986 [RFPA - E 5 10.03]). * * * * * *</w:t>
      </w:r>
    </w:p>
    <w:p>
      <w:r>
        <w:t>A/1265/2016 - 20/20 -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