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ATAS/219/2016 vom 16. März 2016</w:t>
      </w:r>
    </w:p>
    <w:p>
      <w:r>
        <w:t>GE Cour de justice, 2016-03-16, FR</w:t>
      </w:r>
    </w:p>
    <w:p>
      <w:r>
        <w:rPr>
          <w:b/>
        </w:rPr>
        <w:t xml:space="preserve">Quelle: </w:t>
      </w:r>
      <w:r>
        <w:t>https://mcp.opencaselaw.ch/entscheid/ge_gerichte_ATAS_219_2016</w:t>
      </w:r>
    </w:p>
    <w:p>
      <w:r>
        <w:t>FR: GE_GERICHTE ATAS/219/2016 du 16 mars 2016</w:t>
      </w:r>
    </w:p>
    <w:p>
      <w:r>
        <w:t>IT: GE_GERICHTE ATAS/219/2016 del 16 marzo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Interjeté dans les forme et délai prévus par la loi, le recours est recevable, en vertu des art. 56 ss LPGA.</w:t>
      </w:r>
    </w:p>
    <w:p>
      <w:r>
        <w:rPr>
          <w:b/>
        </w:rPr>
        <w:t>E. 5</w:t>
      </w:r>
    </w:p>
    <w:p>
      <w:r>
        <w:t>Le litige porte sur le droit de la recourante à une rente d’invalidité au-delà du 29 février 2012.</w:t>
      </w:r>
    </w:p>
    <w:p>
      <w:r>
        <w:t>A/927/2015 - 13/19 -</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125 V 413 consid. 2d ; arrêts du Tribunal fédéral des assurances I 520/05 du 28 décembre 2006, et I 554/06 du 21 août 2006).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arrêt du Tribunal fédéral des assurances I 786/04 du 19 janvier 2006 consid. 3.1).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w:t>
      </w:r>
    </w:p>
    <w:p>
      <w:r>
        <w:t>A/927/2015 - 14/19 - entraîne une incapacité de travail ayant des effets sur la capacité de gain de l’assuré (arrêt du Tribunal fédéral des assurances I 654/00 du 9 avril 2001 consid. 1).</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w:t>
      </w:r>
    </w:p>
    <w:p>
      <w:r>
        <w:t>A/927/2015 - 15/19 - donné l'importance conférée aux rapports médicaux dans le droit des assurances sociales, il y a lieu toutefois de poser des exigences sévères quant à l'impartialité de l'expert (ATF 125 V 351 consid. 3b/ee).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c/cc.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w:t>
      </w:r>
    </w:p>
    <w:p>
      <w:r>
        <w:t>A/927/2015 - 16/19 - 240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En l’espèce, l’intimé a limité le droit de la recourante à la rente au 29 février 2012. Il a admis le droit de la recourante à une rente entière du 1er décembre 2010 – terme du délai d’attente d’une année – au 29 février 2012. Il a considéré que dès le 1er mars 2012, le degré d’invalidité était de 17%, soit un degré insuffisant pour maintenir le droit à la rente. L’intimé s’est fondé sur les avis du SMR du 8 août 2014 et du 23 novembre 2012, selon lesquels la recourante avait recouvré une capacité de travail entière dès le 15 novembre 2011, ce dans une activité adaptée. Le SMR s’est lui-même référé aux conclusions du Dr G______ du 14 novembre 2012. Il sied de rappeler que selon le Dr G______, la recourante présentait une incapacité de travail complète du 22 décembre 2009 – date de la consultation auprès du Dr J______, lequel avait retenu une spondylarthropathie – au 14 novembre 2011. À partir du 15 novembre 2011, il convenait de considérer que le cas était stabilisé sous anti-inflammatoires seuls et l’exigibilité complète dans une activité adaptée à traduire en termes de métier par un spécialiste de la réadaptation. L’intimé n’a toutefois pas donné suite aux recommandations du Dr G______. Il a suivi l’avis de sa conseillère en réadaptation. Celle-ci a considéré qu’il n’y avait pas lieu d’organiser une mesure d’orientation et d’aide au placement (projet IPT). La recourante avait déjà bénéficié d’une telle mesure dans le cadre de l’assurance- chômage en 2011, avec un stage comme assistante de direction des ressources humaines. Au vu de son incidence « catastrophique sur le plan physique », celui-ci avait dû être interrompu au bout de dix jours. De plus, la recourante était persuadée qu’elle ne pourrait pas tenir professionnellement en cas de reconduction du projet IPT dont elle avait déjà suivi les modules théoriques il y a deux ans. La recourante conteste le rapport du Dr G______, selon lequel elle disposerait d’une capacité de travail exigible de 100% dans une activité adaptée après le 29 février 2012. Elle met en avant les limitations fonctionnelles importantes retenues par le Dr G______, la tentative de stage non concluante effectuée en 2011 ainsi que l’incapacité de travail entière dans toute activité retenue en dernier lieu par les Drs C______, F______ et L______. Elle pointe également du doigt une instruction lacunaire du dossier d’un point de vue psychiatrique et neurologique.</w:t>
      </w:r>
    </w:p>
    <w:p>
      <w:r>
        <w:t>A/927/2015 - 17/19 - Pour sa part, l’intimé est d’avis que la cause est suffisamment instruite et les conclusions du Dr G______ sans équivoque. De plus, une expertise psychiatrique ne se justifie pas puisque le Dr I______, psychiatre traitant de la recourante, indique que les arrêts de travail et les restrictions sont motivés par des problèmes somatiques. Le point de vue de l’intimé ne saurait être suivi. Premièrement, en affirmant qu’on observe une stabilisation de l’état de santé sous anti-inflammatoires à partir du</w:t>
      </w:r>
    </w:p>
    <w:p>
      <w:r>
        <w:rPr>
          <w:b/>
        </w:rPr>
        <w:t>E. 15</w:t>
      </w:r>
    </w:p>
    <w:p>
      <w:r>
        <w:t>novembre 2011, le Dr G______ ne se prononce pas sur l’aggravation de l’état de santé – attestée par la Dresse F______ le 2 avril 2011 – qui a précédé son appréciation. Deuxièmement, l’état stabilisé retenu par le Dr G______ ne tient pas compte du caractère fluctuant de la maladie rhumatismale dont la Dresse F______ fait état en évoquant tantôt des limitations fonctionnelles dues au rachis, à la hanche et à la cheville variant « selon les jours » (cf. pièce 54 intimé, p. 1), tantôt une maladie paraissant « peu active au niveau inflammatoire » début décembre 2011 (cf. pièce 58 intimé p. 2). C’est le lieu de rappeler que lorsqu'il s'agit de déterminer la capacité résiduelle de travail d'une personne atteinte d'une maladie qui évolue par poussées, il convient d'intégrer dans le cadre de la réflexion la question de l'évolution dans le temps de la maladie, soit de tenir compte notamment de la fréquence et de l'intensité des poussées. Il n'est pas suffisant de se fonder sur une évaluation médicale qui ne reflète qu'une image instantanée de la situation; celle-ci doit bien au contraire tracer de manière précise l'évolution – passée et future – de la capacité de travail (arrêt du Tribunal fédéral 9C_153/2015 du 3 novembre 2015 consid. 3.2). En l’espèce, le rapport du Dr G______ n’intègre manifestement pas cette problématique. De plus, la stabilisation alléguée est sérieusement mise en doute par l’apparition de douleurs nouvelles aux deux mains, surtout au niveau des doigts ainsi qu’à la main gauche, rapportées par le Dr L______ qui, le 14 avril 2014, en situe l’apparition à « quelques mois », sans plus de précisions sur leur étiologie. Ainsi, l’instruction du dossier apparaît lacunaire d’un point de vue rhumatologique. Elle l’est également d’un point de vue neurologique puisque l’intimé n’a pas jugé opportun d’interroger le Dr K______, neurologue traitant – qui, en mai 2013, faisait état d’une tétanisation du système neurovégétatif, rapportée par le psychiatre traitant le 31 janvier 2014 – et qu’un phénomène de sensibilisation centrale, dont on ignore la date d’apparition, a été évoqué par la Dresse M______ sans faire l’objet d’investigations plus poussées à ce jour, quoi qu’en dise le SMR. En outre, l’intimé a beau relever que le psychiatre traitant, le Dr I______, indique que les arrêts de travail sont motivés par des problèmes somatiques, il n’en reste pas moins que ce même médecin a posé, dans le même rapport du 14 janvier 2014, les diagnostics psychiatriques « avec effet sur la capacité de travail » de trouble panique (F41.0), trouble dépressif récurrent, épisode actuel léger, évoluant depuis au moins 2003 (F33.0) et de traits de personnalité émotionnellement labile de type borderline (F60.31). De plus, le Dr I______ mentionne que les douleurs chroniques</w:t>
      </w:r>
    </w:p>
    <w:p>
      <w:r>
        <w:t>A/927/2015 - 18/19 - entrainent un état d’anxiété, une tension permanente, une irritabilité, des troubles du sommeil, une limitation de ses capacités de gestion émotionnelle ainsi qu’une angoisse vis-à-vis de l’avenir. Enfin, ce médecin indique que sur le plan psychique, le pronostic est principalement lié à l’évolution de la maladie rhumatismale qui englobe à la fois l’intensité et le caractère continu des douleurs et limitations fonctionnelles. Sans se prononcer sur les limitations somatiques, il mentionne que les autres limitations se manifestent par une capacité de concentration et d’adaptation ainsi qu’une résistance limitée, ce qui souligne la nécessité d’une approche interdisciplinaire. Or, cette dernière fait précisément défaut. Dans la mesure où les conditions de la révision au sens de l’art. 17 LPGA s’appliquent à la décision par laquelle une rente échelonnée ou limitée dans le temps est accordée à la personne assurée, la modification du droit à la rente entière – réduction ou suppression – suppose une modification des circonstances, soit une amélioration de l’atteinte à la santé susceptible de rétablir la capacité de gain, force est de constater qu’au regard de l’aggravation de l’atteinte, notamment aux mains, et des limitations fonctionnelles supplémentaires retenues par le Dr L______, des douleurs musculo-squelettiques diffuses relevées par la Dresse M______ – en cours d’investigation –, des troubles psychiques – corrélatifs aux douleurs chroniques – évoqués par le Dr I______ et des aspects neurologiques du cas, quasiment inexplorés à ce jour, on ne saurait retenir qu’il est établi en l’état, au degré de la vraisemblance prépondérante, qu’une amélioration au sens de l’art. 17 LPGA est véritablement intervenue. La situation demeure peu claire à cet égard. 12. En conséquence et vu la jurisprudence du Tribunal fédéral, il y a lieu d’admettre partiellement le recours et de renvoyer la cause à l’intimé pour qu’il complète l’instruction par la mise en œuvre d’une expertise interdisciplinaire rhumatologique, neurologique et psychiatrique en sollicitant plus particulièrement l’avis des experts sur les éventuelles fluctuations de l’affection rhumatismale de la recourante, ses limitations effectives en situation réelle, sa capacité de travail et le type d’activité qu’elle serait, le cas échéant, à même d’exécuter. La recourante obtenant gain de cause, une indemnité de CHF 2’000.- lui sera accordée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500.-.</w:t>
      </w:r>
    </w:p>
    <w:p>
      <w:r>
        <w:t>***</w:t>
      </w:r>
    </w:p>
    <w:p>
      <w:r>
        <w:t>A/927/2015 - 19/19 -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