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ATAS/219/2014 vom 18. Februar 2013</w:t>
      </w:r>
    </w:p>
    <w:p>
      <w:r>
        <w:t>GE Cour de justice, 2013-02-18, FR</w:t>
      </w:r>
    </w:p>
    <w:p>
      <w:r>
        <w:rPr>
          <w:b/>
        </w:rPr>
        <w:t xml:space="preserve">Quelle: </w:t>
      </w:r>
      <w:r>
        <w:t>https://mcp.opencaselaw.ch/entscheid/ge_gerichte_ATAS_219_2014</w:t>
      </w:r>
    </w:p>
    <w:p>
      <w:r>
        <w:t>FR: GE_GERICHTE ATAS/219/2014 du 18 février 2013</w:t>
      </w:r>
    </w:p>
    <w:p>
      <w:r>
        <w:t>IT: GE_GERICHTE ATAS/219/2014 del 18 febbraio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SUVA de mettre un terme à ses prestations, en particulier le versement des indemnités journalières.</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w:t>
      </w:r>
    </w:p>
    <w:p>
      <w:r>
        <w:t>A/3816/2013 - 7/10 -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7</w:t>
      </w:r>
    </w:p>
    <w:p>
      <w:r>
        <w:t>En vertu de l'art. 16 al. 1 LAA, l'assuré totalement ou partiellement incapable de travailler (art. 6 LPGA) à la suite d'un accident a droit à une indemnité journalière.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Le droit à l’indemnité journalière s'éteint dès que l'assuré a recouvré sa pleine capacité de travail, dès qu'une rente est versée - soit dès qu’il n’y a plus lieu d’attendre de la continuation du traitement médical une sensible amélioration de l’état de l’assuré et que les éventuelles mesures de réadaptation de l’assurance- invalidité ont été menées à terme - ou dès que l'assuré décède (art. 16 al. 2, 2ème phrase et 19 al. 2 LAA).</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la libre appréciation des preuves, le juge apprécie librement les preuves médicales qu’il a recueillies, sans être lié par des règles formelles, en</w:t>
      </w:r>
    </w:p>
    <w:p>
      <w:r>
        <w:t>A/3816/2013 - 8/10 -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w:t>
      </w:r>
    </w:p>
    <w:p>
      <w:r>
        <w:rPr>
          <w:b/>
        </w:rPr>
        <w:t>E. 9</w:t>
      </w:r>
    </w:p>
    <w:p>
      <w:r>
        <w:t>En l'espèce, les rapports des médecins d'arrondissement de la SUVA sont fondés sur l'intégralité du dossier et tiennent compte des plaintes du patient, ainsi que des constatations objectives faites. Leurs conclusions sont claires et bien motivées de sorte que ces rapports peuvent se voir reconnaître pleine valeur probante. Au demeurant, aucun rapport médical ne vient contredire les conclusions des médecins d'arrondissement, qui se sont précisément fondés sur les avis des médecins-traitants de l'assuré aux HUG, spécialistes en chirurgie orthopédique. Ceux-ci confirment que la fracture – relativement bénigne – de la malléole interne de la cheville droite a été correctement traitée par ostéosynthèse en juin 2012. Du point de vue radiologique, la situation a été jugée satisfaisante 4 mois après l'accident, avec une consolidation de la fracture et un bon positionnement des implants. Au surplus, la plaie était propre, il n'y avait aucun signe inflammatoire et la mobilisation de la cheville était quasiment complète. Ainsi, du point de vue objectif, l'état de santé de l'assuré était stabilisé et il était pleinement capable de travailler dans son activité dès le 1er décembre 2012. Si, par la suite, les médecins des HUG ont continué à prescrire des arrêts de travail, c'est uniquement sur la base des plaintes subjectives de l'assuré. Or, les médecins n'ont pas trouvé de signe en faveur d'une algoneurodystrophie. Les sensations douloureuses n'étaient pas reproductibles, en ce sens que l'on ne retrouvait pas de point douloureux régulier à la palpation. Ainsi, l'ensemble des spécialistes des HUG ont conclu qu'il n'y avait pas d'explication médicalement objectivée aux symptômes présentés par l'assuré. A noter également que celui-ci a confirmé, fin novembre 2012 déjà, qu'il ne prenait plus de médicament contre la douleur. Ainsi, sur la base de l'ensemble des rapports médicaux au dossier, il a été établi au degré de la vraisemblance prépondérante que l'assuré ne présentait plus de troubles objectivés en lien de causalité avec l'accident du 20 juin 2012 et qu'il était</w:t>
      </w:r>
    </w:p>
    <w:p>
      <w:r>
        <w:t>A/3816/2013 - 9/10 - pleinement capable de travailler dès le 1er décembre 2012, a fortiori dès le 1er juillet 2013, la SUVA ayant finalement mis un terme à ces prestations dès cette date, en raison du temps écoulé entre la décision et la décision sur opposition.</w:t>
      </w:r>
    </w:p>
    <w:p>
      <w:r>
        <w:rPr>
          <w:b/>
        </w:rPr>
        <w:t>E. 10</w:t>
      </w:r>
    </w:p>
    <w:p>
      <w:r>
        <w:t>Mal fondé, le recours est rejeté. Au surplus, la procédure est gratuite.</w:t>
      </w:r>
    </w:p>
    <w:p>
      <w:r>
        <w:t>A/3816/2013 - 10/10 -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