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ATAS/219/2012 vom 5. März 2012</w:t>
      </w:r>
    </w:p>
    <w:p>
      <w:r>
        <w:t>GE Cour de justice, 2012-03-05, FR</w:t>
      </w:r>
    </w:p>
    <w:p>
      <w:r>
        <w:rPr>
          <w:b/>
        </w:rPr>
        <w:t xml:space="preserve">Quelle: </w:t>
      </w:r>
      <w:r>
        <w:t>https://mcp.opencaselaw.ch/entscheid/ge_gerichte_ATAS_219_2012</w:t>
      </w:r>
    </w:p>
    <w:p>
      <w:r>
        <w:t>FR: GE_GERICHTE ATAS/219/2012 du 5 mars 2012</w:t>
      </w:r>
    </w:p>
    <w:p>
      <w:r>
        <w:t>IT: GE_GERICHTE ATAS/219/2012 del 5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Formé dans la forme et le délai prescrits, le recours est recevable (art. 60 et 61 let. b LPGA).</w:t>
      </w:r>
    </w:p>
    <w:p>
      <w:r>
        <w:t>A/210/2011 - 7/9 -</w:t>
      </w:r>
    </w:p>
    <w:p>
      <w:r>
        <w:rPr>
          <w:b/>
        </w:rPr>
        <w:t>E. 3</w:t>
      </w:r>
    </w:p>
    <w:p>
      <w:r>
        <w:t>La question soumise consiste à déterminer si le droit à la rente entière de la recourante pouvait être révisé, le 9 décembre 2010, avec effet au 1er janvier 2008 à une demi-rente. 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tel changement s'est produit doit être tranché en comparant les faits tels qu'ils se présentaient au moment de la décision initiale de rente et les circonstances régnant à l'époque de la décision litigieuse (ATF 125 V 369 consid. 2; ATF 112 V 372 consid. 2b et 390 consid. 1b).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A/210/2011 - 8/9 -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 ATF n.p. 9C_773/2007 du 23 juin 2008, consid. 2.1).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360 consid. 5b; 125 V 195 consid. 2 et les références; cf. ATF 130 III 324 consid. 3.2 et 3.3). b) En l'occurrence, les conclusions de l'expert judiciaire emportent la conviction. En effet, celui-ci a procédé a l'examen de la recourante, établi l'anamnèse de celle-ci, tenu compte de ses antécédents personnels et de ses plaintes. Il a étudié le dossier médical et s'est entretenu avec le psychiatre-traitant. Son expertise comporte, en outre, des observations cliniques et pose un diagnostic. La discussion circonstanciée et nuancée permet de comprendre les réponses données aux questions posées. L'expertise est exempte de contradictions et répond de manière claire aux questions soumises. Enfin, l'expert expose pour quels motifs l'appréciation du Dr E___________ de l'état psychique de l'assurée ne peut être suivie. Il convient ainsi, à l'instar de l'avis des parties, d'accorder pleine valeur probante à l'expertise. L'expert a retenu le diagnostic d'épisode dépressif sévère existant en décembre 2010 et, certainement, depuis la survenance du cancer recto-colique en 2007. La capacité de travail était nulle et ce de manière durable. Le pronostic était réservé. Au vu de ces éléments, la décision querellée a admis à tort une amélioration de la capacité de travail de la recourante en janvier 2008, respectivement en décembre 2010. La révision n'était donc pas fondée et le recours doit être admis. La recourante continue ainsi à bénéficier d'une rente entière d'invalidité.</w:t>
      </w:r>
    </w:p>
    <w:p>
      <w:r>
        <w:rPr>
          <w:b/>
        </w:rPr>
        <w:t>E. 4</w:t>
      </w:r>
    </w:p>
    <w:p>
      <w:r>
        <w:t>La recourante, qui obtient gain de cause, a droit à une indemnité à titre de participation à ses frais et dépens, que la Cour fixe en l’espèce à 1'500 fr. (art. 61 let. g LPGA ; art. 89H al. 3 LPA ; ATF 122 V 278 consid. 3e/aa). L’intimé sera par ailleurs condamné à un émolument de 1'000 fr. (art. 69 al. 1 bis LAI). * * *</w:t>
      </w:r>
    </w:p>
    <w:p>
      <w:r>
        <w:t>A/210/2011 - 9/9 -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