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ATAS/218/2017 vom 21. März 2017</w:t>
      </w:r>
    </w:p>
    <w:p>
      <w:r>
        <w:t>GE Cour de justice, 2017-03-21, FR</w:t>
      </w:r>
    </w:p>
    <w:p>
      <w:r>
        <w:rPr>
          <w:b/>
        </w:rPr>
        <w:t xml:space="preserve">Quelle: </w:t>
      </w:r>
      <w:r>
        <w:t>https://mcp.opencaselaw.ch/entscheid/ge_gerichte_ATAS_218_2017</w:t>
      </w:r>
    </w:p>
    <w:p>
      <w:r>
        <w:t>FR: GE_GERICHTE ATAS/218/2017 du 21 mars 2017</w:t>
      </w:r>
    </w:p>
    <w:p>
      <w:r>
        <w:t>IT: GE_GERICHTE ATAS/218/2017 del 21 marzo 2017</w:t>
      </w:r>
    </w:p>
    <w:p>
      <w:pPr>
        <w:pStyle w:val="Heading2"/>
      </w:pPr>
      <w:r>
        <w:t>Erwägungen</w:t>
      </w:r>
    </w:p>
    <w:p>
      <w:r>
        <w:rPr>
          <w:b/>
        </w:rPr>
        <w:t>E. 31</w:t>
      </w:r>
    </w:p>
    <w:p>
      <w:r>
        <w:t>janvier 2002 ; pas de mouvements d’élévation ou d’abduction de plus de 90° avec le membre supérieur droit, pas de mouvements répétitifs avec ce même membre selon le rapport du 29 octobre 2009). Ce sont d’ailleurs ces limitations qui ressortent de la description des empêchements, la recourante ne pouvant plus s’occuper des travaux ménagers lourds. Au vu de ce qui précède, c’est donc à tort que l’intimé a écarté les conclusions des enquêtes ménagères, auxquelles une pleine valeur probante doit être reconnue.</w:t>
      </w:r>
    </w:p>
    <w:p>
      <w:r>
        <w:t>A/279/2016 - 46/50 - 23. Reste à déterminer le degré d’invalidité de la recourante.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 al. 2 LAI [dans sa teneur en vigueur jusqu'au 31 décembre 2007, applicable en l'espèce]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 ATF 114 V 313 consid. 3a et les références). Selon la jurisprudence, le résultat exact du calcul du degré d’invalidité doit être arrondi au chiffre en pour cent supérieur ou inférieur selon les règles applicables en mathématiques. En cas de résultat jusqu'à x, 49%, il faut arrondir à x% et pour des valeurs à partir de x, 50%, il faut arrondir à x+1% (ATF 130 V 121 consid. 3.2). b. S’agissant du taux d’invalidité global en cas de méthode mixte, il est calculé d’après le temps consacré aux deux champs d’activité (activité professionnelle et ménage) et se détermine à l’aide de la formule suivante (voir notamment arrêt du Tribunal fédéral 9C_790/2010 du 8 juillet 2011 consid. 7.1) : [% part lucrative x% invalidité] + [% part ménagère x% invalidité]). c. A teneur de l’art. 88a RAI,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 ce changement est déterminant pour l'accroissement du droit aux prestations dès qu'il a duré trois mois sans interruption notable. L'art. 29bis RAI est toutefois applicable par analogie. Selon la jurisprudence, le sens et le but de l'art. 88a al. 1 RAI est notamment de donner au bénéficiaire de la rente une certaine assurance en ce qui concerne le</w:t>
      </w:r>
    </w:p>
    <w:p>
      <w:r>
        <w:t>A/279/2016 - 47/50 - versement régulier de ses prestations. Des modifications temporaires des facteurs qui fondent le droit à la rente ne doivent pas conduire à une adaptation par la voie de la révision ; au regard de la sécurité du droit, l'octroi d'une rente entré en force se doit d'avoir une certaine stabilité (arrêt du Tribunal fédéral 9C_1022/2012 du 16 mai 2013 consid. 3.2).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 arrêt du Tribunal fédéral I.666/81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et la référence citée).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Cette disposition ne s'applique pas tant qu'un droit à la rente n'est pas ouvert au regard des conditions de l'art. 28 al. 1 let. b LAI (arrêt du Tribunal fédéral 9C_302/2015 du 18 septembre 2015). 24. a. En l’espèce, compte tenu de l’âge de la recourante, il convient d’examiner le degré d'invalidité en fonction de la capacité de travail résiduelle dans l'activité habituelle. Or, pour rappel, la capacité de travail dans l’activité habituelle était la suivante : − 0% du 12 octobre 1998 au 30 avril 2000 ; − 75% du 1er au 31 mai 2000 ; − 80% du 1er juin 2000 au 31 octobre 2005 ; − 0% dès le 1er novembre 2005. Par ailleurs, les empêchements retenus dans la sphère ménagère entraînaient une invalidité de 42.8% selon l’enquête ménagère du 20 août 2002 et de 43.85% selon l’enquête ménagère du 12 novembre 2010. Enfin, le statut de la recourante était celui d’une assurée exerçant une activité lucrative à temps complet pour la période courant jusqu’au 31 mars 2001 (méthode ordinaire), d’une assurée sans activité lucrative entre le 1er avril 2001 et le 31 mars</w:t>
      </w:r>
    </w:p>
    <w:p>
      <w:r>
        <w:t>A/279/2016 - 48/50 - 2003 (méthode extraordinaire) et enfin celui d’une assurée exerçant une activité lucrative à temps partiel dès le 1er avril 2003 (méthode mixte). Au vu des données ci-dessus, le degré d’invalidité total de la recourante se calcule de la manière suivante : − du 1er octobre 1999 au 30 avril 2000 : 100% (soit incapacité totale de travailler dans l’activité habituelle exercée à 100%) ; − du 1er au 31 mai 2000 : 25% (soit incapacité de travailler moyenne de 25% dans l’activité habituelle exercée à 100%) ; − du 1er juin 2000 au 31 mars 2001 : 20% (soit incapacité de travailler moyenne de 20% dans l’activité habituelle exercée à 100% ; − du 1er avril 2001 au 31 mars 2003 : 43% (empêchements de 42.8% dans le ménage, le statut de la recourante étant alors celui d’une personne sans activité lucrative) ; − du 1er avril 2003 au 31 octobre 2005 : 25% ([20% x 80%] + [42.8% x 20%] = 16% + 8.56% = 24.56% conformément à la méthode mixte dès lors que la recourante aurait été active à 80% seulement) ; − du 1er novembre 2005 au 31 octobre 2010 : 89% ([100% x 80%] + [42.8% x 20%] = 80% + 8.56% = 88.56% conformément à la méthode mixte dès lors que la recourante aurait été active à 80% seulement) ; − du 1er novembre 2010 au 31 juillet 2014 : 89% ([100% x 80%] + [43.85% x 20%] = 80% + 8.77% = 88.77% conformément à la méthode mixte dès lors que la recourante aurait été active à 80% seulement). b. Compte tenu de l’art. 88a RAI, le droit à la rente de la recourante est le suivant, étant précisé que la modification du droit à la rente n’intervient qu’après l’écoulement de trois mois complets (voir arrêt du Tribunal fédéral 9C_900/2013 du 8 avril 2014 consid. 6.5 pour un exemple de calcul lorsque l’amélioration ne survient pas en début de mois) : − du 1er octobre 1999 au 31 juillet 2000 : rente entière ; − du 1er août 2000 au 30 juin 2001 : aucune rente ; − du 1er juillet 2001 au 30 juin 2003 : quart de rente ; − du 1er juillet 2003 au 28 février 2006 : aucune rente ; − depuis le 1er mars 2006 : rente entière. 25. La recourante conteste également le bien-fondé de la demande de restitution des avances versées depuis le 1er décembre 2010. Dans la mesure où la chambre de céans met la recourante au bénéfice d’une rente entière à compter du 1er mars 2006, la demande de restitution des avances versées</w:t>
      </w:r>
    </w:p>
    <w:p>
      <w:r>
        <w:t>A/279/2016 - 49/50 - depuis le 1er décembre 2010 est à l’évidence dénuée de tout fondement, de sorte que la décision y relative sera annulée. 26. Enfin, la recourante conteste le nombre d’années prises en considération pour le calcul du montant de la rente. Dans ce contexte, la chambre de céans rappellera que le 4 février 2005, Hotela a transmis à l’assurée le calcul comparatif auquel elle avait procédé, étant précisé que le montant d’une rente portugaise était inclus dans ledit calcul. Toutefois, selon une décision de l’autorité portugaise compétente, datée du 21 avril 2005, la recourante n’était pas considérée comme invalide au sens du droit portugais, de sorte qu’elle ne pouvait prétendre à aucune rente. Faisant suite à cette décision, la caisse suisse de compensation a invité Hotela, en date du 27 mai 2005, à calculer le montant de la rente en prenant en considération les cotisations portugaises. La question du nombre d’années de cotisations est régulièrement invoquée par l’assurée depuis 2003 et l’OAI n’a jamais formellement statué à ce propos. En outre, le dossier comporte des contradictions s’agissant notamment de la rente portugaise. Dans ces circonstances, il y a lieu de renvoyer la cause à l’OAI pour instruction complémentaire et nouvelle décision sur le montant de la rente. 27. Au vu de ce qui précède, le recours sera admis et les décisions du 15 décembre 2015 seront annulées. La recourante sera mise au bénéfice d’une rente entière du 1er octobre 1999 au 31 juillet 2000, d’un quart de rente du 1er juillet 2001 au 30 juin 2003, d’une rente entière du 1er mars 2006 au 31 juillet 2014, date à laquelle la rente de vieillesse a pris le relais. Pour le surplus, la cause sera renvoyée à l’OAI pour que celui-ci statue formellement sur le nombre d’années de cotisations à prendre en considération. La recourante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A/279/2016 - 50/50 -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