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ATAS/218/2016 vom 16. März 2016</w:t>
      </w:r>
    </w:p>
    <w:p>
      <w:r>
        <w:t>GE Cour de justice, 2016-03-16, FR</w:t>
      </w:r>
    </w:p>
    <w:p>
      <w:r>
        <w:rPr>
          <w:b/>
        </w:rPr>
        <w:t xml:space="preserve">Quelle: </w:t>
      </w:r>
      <w:r>
        <w:t>https://mcp.opencaselaw.ch/entscheid/ge_gerichte_ATAS_218_2016</w:t>
      </w:r>
    </w:p>
    <w:p>
      <w:r>
        <w:t>FR: GE_GERICHTE ATAS/218/2016 du 16 mars 2016</w:t>
      </w:r>
    </w:p>
    <w:p>
      <w:r>
        <w:t>IT: GE_GERICHTE ATAS/218/2016 del 16 marzo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prévus par la loi, le recours est recevable (art. 56 et 60 LPGA ; art. 43 LPCC ; art. 89B de la loi sur la procédure administrative du 12 septembre 1985, LPA-GE - E 5 10).</w:t>
      </w:r>
    </w:p>
    <w:p>
      <w:r>
        <w:rPr>
          <w:b/>
        </w:rPr>
        <w:t>E. 3</w:t>
      </w:r>
    </w:p>
    <w:p>
      <w:r>
        <w:t>L’objet du litige porte uniquement sur la remise de l’obligation de restituer le montant de CHF 37’746.-.</w:t>
      </w:r>
    </w:p>
    <w:p>
      <w:r>
        <w:rPr>
          <w:b/>
        </w:rPr>
        <w:t>E. 4</w:t>
      </w:r>
    </w:p>
    <w:p>
      <w:r>
        <w:t>La restitution de prestations indûment versées ne peut être exigée lorsque l’intéressé était de bonne foi et qu’elle le mettrait dans une situation difficile (cf. art. 25 al. 1 2ème phrase LPGA ; art. 4 al. 1 de l’ordonnance sur la partie générale du droit des assurances sociales du 11 septembre 2002, OPGA - RS 830.11 ; art. 24 al. 1, 2ème phrase LPCC). Ces conditions sont cumulatives (cf. ATF 126 V 48 consid. 3c p. 53).</w:t>
      </w:r>
    </w:p>
    <w:p>
      <w:r>
        <w:rPr>
          <w:b/>
        </w:rPr>
        <w:t>E. 5</w:t>
      </w:r>
    </w:p>
    <w:p>
      <w:r>
        <w:t>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138 V 218 consid. 4 p. 220 ; 112 V 97 consid. 2c</w:t>
      </w:r>
    </w:p>
    <w:p>
      <w:r>
        <w:t>A/3468/2015 - 5/6 - p. 103; 110 V 176 consid. 3c p. 180). Il y a négligence grave quand un ayant droit ne se conforme pas à ce qui peut raisonnablement être exigé d'une personne capable de discernement dans une situation identique et dans les mêmes circonstances (ATF 110 V 176 consid. 3d p. 181).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w:t>
      </w:r>
    </w:p>
    <w:p>
      <w:r>
        <w:rPr>
          <w:b/>
        </w:rPr>
        <w:t>E. 6</w:t>
      </w:r>
    </w:p>
    <w:p>
      <w:r>
        <w:t>L’intimé a considéré que le recourant n’était pas de bonne foi, dans la mesure où il n’avait pas annoncé les changements intervenus dans sa fortune mobilière. Le recourant conteste ce point de vue, alléguant qu’il n’a jamais rien caché et qu’il a communiqué tous les renseignements utiles dans ses déclarations fiscales. Il sied de rappeler préalablement que les prestations complémentaires sont destinées à la couverture des besoins vitaux et que leur et calcul dépend des revenus et de la fortune du bénéficiaire (cf. art. 2, 9 à 11 LPC). L’ayant-droit doit communiquer sans retard à l’organe cantonal compétent tout changement dans sa situation personnelle et toute modification sensible dans sa situation matérielle (cf. art. 24 de l’ordonnance sur les prestations complémentaires à l’assurance-vieillesse, survivants et invalidité du 15 janvier 1971, OPC-AVS/AI - RS 831.301). La chambre de céans relève que l’obligation de renseigner a été rappelée au recourant à réitérées reprises à l’occasion des décisions d’octroi, respectivement d’adaptation des prestations complémentaires (cf. notamment pièces nos 22, 33, 49, 84, 85 intimé). En l’occurrence, le recourant a admis n’avoir pas communiqué à l’intimé les changements intervenus dans sa fortune mobilière. Le montant de sa fortune mobilière telle que connue de l’intimé s’élevait à CHF 36'788.40 depuis 2005, ainsi qu’il ressort des décisions d’octroi de prestations (cf. notamment pièces nos 23,24, 32, 38, 45, 49). C’est à la suite de la révision du dossier, en décembre 2012, que l’intimé a pris connaissance notamment de l’évolution de la fortune du recourant depuis 2005 et qu’il a été amené, après avoir procédé à un nouveau calcul des prestations, à réclamer la restitution des prestations indûment versées. Par conséquent, contrairement à ce que le recourant soutient, l’intimé n’avait pas connaissance de l’état de sa fortune durant les années concernées. Dans la mesure où le recourant n’a pas communiqué à l’intimé les modifications intervenues dans sa situation personnelle et financière qui avaient une incidence sur l’octroi de ses prestations complémentaires, force est de constater qu’il a violé l’obligation de renseigner qui lui incombait et commis, à tout le moins, une négligence grave. Sa bonne foi ne peut dès lors pas être admise. Dès lors que l’une des conditions cumulatives n’est pas remplie, c’est à bon droit que l’intimé a refusé la remise de l’obligation de restituer.</w:t>
      </w:r>
    </w:p>
    <w:p>
      <w:r>
        <w:rPr>
          <w:b/>
        </w:rPr>
        <w:t>E. 7</w:t>
      </w:r>
    </w:p>
    <w:p>
      <w:r>
        <w:t>Mal fondé, le recours est rejeté.</w:t>
      </w:r>
    </w:p>
    <w:p>
      <w:r>
        <w:rPr>
          <w:b/>
        </w:rPr>
        <w:t>E. 8</w:t>
      </w:r>
    </w:p>
    <w:p>
      <w:r>
        <w:t>La procédure est gratuite (art. 61 let. a LPGA ; art. 89H LPA).</w:t>
      </w:r>
    </w:p>
    <w:p>
      <w:r>
        <w:t>A/3468/2015 - 6/6 -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