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ATAS/218/2010 vom 29. Oktober 2009</w:t>
      </w:r>
    </w:p>
    <w:p>
      <w:r>
        <w:t>GE Cour de justice, 2009-10-29, FR</w:t>
      </w:r>
    </w:p>
    <w:p>
      <w:r>
        <w:rPr>
          <w:b/>
        </w:rPr>
        <w:t xml:space="preserve">Quelle: </w:t>
      </w:r>
      <w:r>
        <w:t>https://mcp.opencaselaw.ch/entscheid/ge_gerichte_ATAS_218_2010</w:t>
      </w:r>
    </w:p>
    <w:p>
      <w:r>
        <w:t>FR: GE_GERICHTE ATAS/218/2010 du 29 octobre 2009</w:t>
      </w:r>
    </w:p>
    <w:p>
      <w:r>
        <w:t>IT: GE_GERICHTE ATAS/218/2010 del 29 ottobre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11 septembre 1989, date du mariage, d’autre part le 1er décembre 2009, date à laquelle le jugement de divorce est devenu exécutoire.</w:t>
      </w:r>
    </w:p>
    <w:p>
      <w:r>
        <w:t>A/4491/2009 4/6</w:t>
      </w:r>
    </w:p>
    <w:p>
      <w:r>
        <w:rPr>
          <w:b/>
        </w:rPr>
        <w:t>E. 4</w:t>
      </w:r>
    </w:p>
    <w:p>
      <w:r>
        <w:t>Cependant, la demanderesse ayant été bénéficiaire de prestations de l’assurance- invalidité, la question se pose de savoir si le partage ordonné peut être exécuté.</w:t>
      </w:r>
    </w:p>
    <w:p>
      <w:r>
        <w:rPr>
          <w:b/>
        </w:rPr>
        <w:t>E. 5</w:t>
      </w:r>
    </w:p>
    <w:p>
      <w:r>
        <w:t>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w:t>
      </w:r>
    </w:p>
    <w:p>
      <w:r>
        <w:t>A/4491/2009 5/6 Hinweise für die Praxis, PJA 2001 p. 155, 156; GRUTTER/SUMMERMATTER, Erstinstanzliche Erfahrungen mit dem Vorsorgeausgleich bei Scheidung, insbesondere nach art. 124 ZGB, FamPra 2002 p. 641, 647; SUTTER/ FREIBURGHAUS, Kommentar zum neuen Schdidungsrecht, n. 3 ad art. 124 CC.).</w:t>
      </w:r>
    </w:p>
    <w:p>
      <w:r>
        <w:rPr>
          <w:b/>
        </w:rPr>
        <w:t>E. 6</w:t>
      </w:r>
    </w:p>
    <w:p>
      <w:r>
        <w:t>En l’espèce, la demanderesse a certes été mise au bénéfice d'une rente de l'assurance-invalidité, mais seulement pour une période limitée. Qui plus est, elle n’a pas bénéficié d’une rente d'invalidité de la prévoyance professionnelle. En conséquence, le partage des avoirs de prévoyance tel que l’a décidé le juge civil reste techniquement possible.</w:t>
      </w:r>
    </w:p>
    <w:p>
      <w:r>
        <w:rPr>
          <w:b/>
        </w:rPr>
        <w:t>E. 7</w:t>
      </w:r>
    </w:p>
    <w:p>
      <w:r>
        <w:t>Selon les documents produits, la prestation acquise pendant le mariage par le demandeur s'élève à 113'420 fr. 35 tandis que celle acquise par la demanderesse atteint la somme de 4'820 fr. 05, les intérêts ayant déjà été calculés par les institutions de prévoyance défenderesses. Ainsi le demandeur doit à son ex-épouse le montant de 56'710 fr. 20 (113'420.35 : 2) alors qu'elle lui doit celui de 2'410 fr. 05 (4'820.05 : 2), de sorte que c’est en définitive le demandeur qui doit à son ex- épouse le montant de 54'300 fr. 15 (56'710.20 - 2'410.05).</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9</w:t>
      </w:r>
    </w:p>
    <w:p>
      <w:r>
        <w:t>Aucun émolument ne sera perçu, la procédure étant gratuite (art. 73 al. 2 LPP et 89H al. 1 de la loi sur la procédure administrative du 12 septembre 1985).</w:t>
      </w:r>
    </w:p>
    <w:p>
      <w:r>
        <w:t>A/4491/2009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