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ATAS/217/2016 vom 16. März 2016</w:t>
      </w:r>
    </w:p>
    <w:p>
      <w:r>
        <w:t>GE Cour de justice, 2016-03-16, FR</w:t>
      </w:r>
    </w:p>
    <w:p>
      <w:r>
        <w:rPr>
          <w:b/>
        </w:rPr>
        <w:t xml:space="preserve">Quelle: </w:t>
      </w:r>
      <w:r>
        <w:t>https://mcp.opencaselaw.ch/entscheid/ge_gerichte_ATAS_217_2016</w:t>
      </w:r>
    </w:p>
    <w:p>
      <w:r>
        <w:t>FR: GE_GERICHTE ATAS/217/2016 du 16 mars 2016</w:t>
      </w:r>
    </w:p>
    <w:p>
      <w:r>
        <w:t>IT: GE_GERICHTE ATAS/217/2016 del 16 marzo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A/975/2015 - 8/16 -</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par décisions des 3 et 26 novembre 2014 confirmées par décision sur opposition du 26 février 2015 - qui détermine l'objet de la contestation -, l’intimée a fixé les cotisations personnelles dues par le recourant pour les années 2009 et 2010 sur la base d’un revenu déterminant de CHF 2'931'884 en 2009 et CHF 3'129'896.- en 2010 prenant en compte cinq activités indépendantes, soit quatre dans le canton de Genève et une à Nyon. Elle lui a également réclamé des intérêts à 5% sur les cotisations arriérées 2009 et 2010. Dans son recours, le recourant ne conteste plus la perception d’intérêts moratoires sur les arriérés de cotisations, mais uniquement la prise en compte de son revenu immobilier vaudois pour fixer les cotisations dues. Par conséquent, le litige porte sur les cotisations personnelles dues par le recourant pour les années 2009 et 2010, plus particulièrement sur le montant du revenu déterminant, respectivement consiste à déterminer si le revenu de son immeuble de Nyon provient d’une activité lucrative indépendante.</w:t>
      </w:r>
    </w:p>
    <w:p>
      <w:r>
        <w:rPr>
          <w:b/>
        </w:rPr>
        <w:t>E. 5</w:t>
      </w:r>
    </w:p>
    <w:p>
      <w:r>
        <w:t>a) Sont assurées conformément à la présente loi, les personnes physiques domiciliées en Suisse (art. 1a al. 1 let. a LAVS). Les assurés sont tenus de payer des cotisations tant qu’ils exercent une activité lucrative (art. 3 al. 1 LAVS). Les cotisations des assurés qui exercent une activité lucrative sont calculées en pour-cent du revenu provenant de l’exercice de l’activité dépendante et indépendante (art. 4 al. 1 LAVS). Une cotisation de 7,8% est perçue sur le revenu provenant d’une activité indépendante (art. 8 al. 1 LAVS). Conformément à l’art. 3 al. 1ère et 2ème phrases de</w:t>
      </w:r>
    </w:p>
    <w:p>
      <w:r>
        <w:t>A/975/2015 - 9/16 - la loi sur l’assurance-invalidité (LAI - RS 831.20), la LAVS s'applique par analogie à la fixation des cotisations de l'assurance-invalidité. Une cotisation de 1,4% est perçue sur le revenu d'une activité lucrative. En vertu de l’art. 36 1ère phrase du règlement sur les allocations pour perte de gain (RAPG – RS 834.11), la cotisation sur le revenu d'une activité lucrative s'élève à 0,3% en 2009 et 2010. Selon l’art. 12 du règlement d'exécution de la loi sur les allocations familiales du 19 novembre 2008 (RAF - J 5 10.01), le taux de contribution s'élève à 1,4% des salaires et/ou revenus soumis à cotisation AVS. b) L’art 9 LAVS prescrit que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L'art. 17 règlement sur l'assurance-vieillesse et survivants du 31 octobre 1947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c) Le Conseil fédéral fixera les périodes de calcul et de cotisations (art. 14 al. 2 LAVS). Le Conseil fédéral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 Les cotisations portant sur le revenu provenant d’une activité indépendante, selon l’art. 22 RAVS,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d)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w:t>
      </w:r>
    </w:p>
    <w:p>
      <w:r>
        <w:t>A/975/2015 - 10/16 -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w:t>
      </w:r>
    </w:p>
    <w:p>
      <w:r>
        <w:rPr>
          <w:b/>
        </w:rPr>
        <w:t>E. 6</w:t>
      </w:r>
    </w:p>
    <w:p>
      <w:r>
        <w:t>a) Les revenus que tire un indépendant d'immeubles dont il est propriétaire ressortissent de son activité indépendante - et sont dès lors soumis à cotisations AVS - lorsque ceux-ci appartiennent à sa fortune commerciale.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En revanche, les revenus résultant d'immeubles appartenant à la fortune privée ne sont pas soumis à cotisations AVS, la seule gestion de la fortune privée ne constituant pas une activité indépendante au sens des art. 9 al. 1 LAVS et 17 RAVS (ATF 134 V 250 consid. 3.1; ATF 125 V 383 consid. 2a).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ATF 125 V 383 consid. 2a). La délimitation entre la fortune commerciale et la fortune privée s'opère, en droit des assurances sociales, selon les mêmes critères que ceux établis en matière d'impôt fédéral direct. On se fonde sur la jurisprudence concernant la délimitation entre fortune privée et capital commercial, lorsqu'il s'agit d'impôt sur des gains en capital selon l'art. 21 al. 1 let. d LIFD. Elle dépend de l'ensemble des circonstances du cas d'espèce. Est décisive la fonction économique de la valeur patrimoniale en question; on considère qu'un bien est attribué à la fortune commerciale lorsqu'il sert effectivement à l'activité commerciale (ATF 109 V 161 consid. 4b; RCC 1981 p. 325 consid. 2b et les arrêts cités).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w:t>
      </w:r>
    </w:p>
    <w:p>
      <w:r>
        <w:t>A/975/2015 - 11/16 -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arrêt du Tribunal fédéral 2A.677/2004 du 3 novembre 2005 consid. 2.2). En revanche, la location de ses propres immeubles relève en règle générale de l'administration de la fortune privée (arrêt du Tribunal fédéral 9C_987/2010, op. cit, consid. 6.3). b) Le caractère obligatoire des données fiscales se limite cependant à la fixation du revenu déterminant;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du Tribunal fédéral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arrêt du Tribunal fédéral 9C_987/2010, op. cit. consid. 6.4).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ATF 106 V 129 consid. 1; ATF 102 V 27 consid. 3a; arrêt du Tribunal fédéral 9C_253/2014 du 28 juillet 2014 consid. 6.3.1; arrêt du Tribunal fédéral des assurances H 381/01 du 7 juin 2002 consid. 3).</w:t>
      </w:r>
    </w:p>
    <w:p>
      <w:r>
        <w:rPr>
          <w:b/>
        </w:rPr>
        <w:t>E. 7</w:t>
      </w:r>
    </w:p>
    <w:p>
      <w:r>
        <w:t>a) En l’espèce, dans le cadre d’un contrat de société simple, le recourant et son frère sont copropriétaires à parts égales de l’immeuble de Nyon et louent à des tiers,</w:t>
      </w:r>
    </w:p>
    <w:p>
      <w:r>
        <w:t>A/975/2015 - 12/16 - notamment à la société anonyme dont ils sont actionnaires, des espaces commerciaux, appartements et places de parc. Il convient de déterminer s’il s’agit d’une activité commerciale ou une simple gestion de la fortune privée. b) Selon la jurisprudence, la distinction entre un gain privé en capital (non imposable sur le revenu) et un bénéfice commercial en capital provenant de l'exercice d'une activité lucrative indépendante (imposable sur le revenu), dépend des circonstances concrètes du cas (cf. arrêt du Tribunal fédéral 2C_819/2011 du 20 avril 2012 consid. 3.2 et les arrêts cités).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(cf. ATF 125 II 113 consid. 6c/bb; arrêts du Tribunal fédéral 2C_818/2012 du 21 mars 2013 consid. 6.1 et 2C_834/2012 du 19 avril 2013 consid. 5.5).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Pour déterminer la frontière entre activité lucrative indépendante et gestion de patrimoine privé, la jurisprudence a posé une série d'indices. Elle a notamment considéré comme indices d'une activité lucrative indépendante, dépassant la simple administration de la fortune privée,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 du Tribunal fédéral 2C_455/2011 du 5 avril 2012 consid. 5.1 et les références citées). En outre, l'absence d'éléments typiques d'une telle activité dans un cas concret peut être relativisée par d'autres circonstances revêtant une intensité particulière (arrêt du</w:t>
      </w:r>
    </w:p>
    <w:p>
      <w:r>
        <w:t>A/975/2015 - 13/16 - Tribunal fédéral 2C_819/2011 du 20 avril 2012 consid. 3.2 et les références citées, in RDAF 2012 II p. 260), comme par exemple le degré de financement étranger (arrêt du Tribunal fédéral 2A.4/1998 du 2 décembre 1999 consid. 2c, in Archives 69 p. 788, traduit in RDAF 2001 II p. 233). En tout état, les circonstances concrètes du cas sont déterminantes, telles qu'elles se présentent au moment de l'aliénation (ATF 125 II 113 consid. 3c et 6a; arrêts du Tribunal fédéral 2C_893/2008 du</w:t>
      </w:r>
    </w:p>
    <w:p>
      <w:r>
        <w:rPr>
          <w:b/>
        </w:rPr>
        <w:t>E. 10</w:t>
      </w:r>
    </w:p>
    <w:p>
      <w:r>
        <w:t>août 2009 consid. 2.2 in RF 64/2009 p. 892; arrêt du Tribunal fédéral 2C_834/2012 du 19 avril 2013 consid. 5.5). La location de ses propres immeubles relève de l'administration ordinaire de la fortune privée; on ne doit y voir une activité indépendante qu'avec une grande retenue (arrêt du Tribunal fédéral 2A.488/1998 du 26 juillet 1999 consid. 3b et les références citées).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(Archives 52 p. 363 consid. 6; 48, p. 363 s. consid. 4c et les références citées) et que les locataires font un usage commercial de l'immeuble loué ou que le propriétaire de l'immeuble en cause participe ou est intéressé aux activités commerciales du locataire (Archives 52 p. 363 consid. 6; ATF 79 I 63 et les références citées; arrêt du Tribunal fédéral 2P.317/2005 du 3 avril 2006 consid. 2.2). c) En l’occurrence, dans son arrêt 2P.317/2005 du 3 avril 2006, le Tribunal fédéral a déjà été amené à trancher cette question sur le plan fiscal s’agissant de l’immeuble de Nyon. Il a relevé que le recourant et son frère ont acquis le terrain en société simple le 6 mars 1992, sur lequel ils ont planifié puis dirigé la construction d'un bâtiment terminé en 1994. L'opération a été financée à plus de 80% par des fonds étrangers, prêtés par les banques et par la société anonyme. Le bâtiment abrite des locaux commerciaux, à savoir ceux loués à la société anonyme et six autres loués à diverses sociétés et entreprises commerciales. Il abrite également deux appartements, des bureaux et une trentaine de places de parc également loués à des tiers. La gestion de l'immeuble fait l'objet d'une comptabilité. Toutefois, les frais d'administration de l'immeuble sont relativement modestes (CHF 2'656.90 pour l'exercice 1995 et CHF 3'791.15 pour l'exercice 1996). Dans ces circonstances, l'opération consistant à acquérir un terrain en société simple, y construire un immeuble pour le louer à la société anonyme dont les associés sont actionnaires et à d'autres locataires privés et commerciaux ressortit à la gestion du patrimoine privé. Par conséquent, le Tribunal fédéral a considéré que l’élément décisif de la fonction économique de la valeur patrimoniale ne servait pas à l'activité commerciale. Étant donné que la délimitation entre la fortune commerciale et la fortune privée s'opère selon les mêmes critères s’agissant du revenu soumis aux cotisations en droit des assurances sociales qu’en matière d'impôt fédéral direct, il n’y a aucune raison de s’écarter des considérations du Tribunal fédéral dans le litige opposant le</w:t>
      </w:r>
    </w:p>
    <w:p>
      <w:r>
        <w:t>A/975/2015 - 14/16 - frère du recourant à l’AFCV. Cette conclusion s’impose d’autant plus que depuis une quinzaine d’années, le recourant qui est garagiste de profession loue son propre immeuble sans velléité de le vendre, soit une activité qui ressortit à l'administration ordinaire de la fortune privée, étant précisé que dans ce domaine, on ne doit y voir une activité indépendante qu'avec une grande retenue. En outre, il n’y a aucun lien économique entre l’immeuble et l’activité professionnelle du recourant puisque l’activité de garagiste n’inclut pas en soi l’achat de biens immobiliers. Par conséquent, le but poursuivi par cette activité qui dure maintenant depuis une quinzaine d’années vise le placement de la fortune privée du recourant dans un immeuble et l'obtention d'un revenu locatif, soit la gestion du patrimoine privé du recourant. Le fait que le bénéfice net de cette activité se soit élevé à CHF 350'500.- en 2009 et à CHF 551'186.- en 2010 n’a pas l’importance que veut lui donner l’intimée car pour déterminer s’il s’agit d’une activité commerciale ou une simple gestion du patrimoine privé, l’on ne saurait se fonder sur un critère unique mais sur l’ensemble des circonstances du cas concret. Elle oublie en effet que chacun des critères doit être examiné en concours avec les autres et non isolément et qu'une intensité particulière n'est déterminante que dans les cas où la plupart des autres critères font totalement défaut (cf. arrêt du Tribunal fédéral 2C_1276/2012 du 24 octobre 2013 consid. 4.3.3). De plus, il ne s’agit pas d’un élément pertinent pour procéder à une telle appréciation car l’ampleur du bénéfice dépend de l’importance du patrimoine géré et ne constitue pas un indice déterminant en faveur d'une opération professionnelle. En l’occurrence, selon la communication fiscale du 17 novembre 2014 concernant l’exercice 2010, le capital propre investi dans l’immeuble de Nyon est de CHF 5'026'187.-, de sorte que le revenu de CHF 551'186.- représente un rendement de fortune d’environ 11% ce qui ne permet pas pour ce seul motif de considérer que la location de l’immeuble est une activité commerciale. Il n’est pas possible de procéder à une telle comparaison pour l’exercice 2009, l’intimée n’ayant pas cru bon de produire le détail fiscal des activités indépendantes pour l’année 2009. En outre, l’intimée n’est pas liée par les communications fiscales de l’AFCG. En effet, il ne ressort d’aucune pièce au dossier que celle-ci considère l'immeuble comme faisant partie de la fortune commerciale du recourant. La communication fiscale adressée à l’intimée traite il est vrai le revenu locatif de l’immeuble de Nyon comme un bénéfice provenant d'une activité indépendante, mais selon la jurisprudence, cette qualification doit être considérée avec retenue du point de vue du droit de l'AVS, ce d’autant plus que l’AFCG n’est pas compétente à raison du lieu pour procéder à une telle qualification puisque l’immeuble en question n’est pas sis sur le territoire du canton de Genève. Or, dans son avis de taxation du</w:t>
      </w:r>
    </w:p>
    <w:p>
      <w:r>
        <w:rPr>
          <w:b/>
        </w:rPr>
        <w:t>E. 12</w:t>
      </w:r>
    </w:p>
    <w:p>
      <w:r>
        <w:t>juin 2008 concernant la période fiscale 2006, l’OIN qui est compétente à raison du lieu pour se prononcer sur la qualification de l’immeuble de Nyon a expressément reconnu qu’il fait partie de la fortune privée du recourant.</w:t>
      </w:r>
    </w:p>
    <w:p>
      <w:r>
        <w:t>A/975/2015 - 15/16 - Par conséquent, le dossier doit être renvoyé à l’intimée pour qu'elle détermine les cotisations AVS/AI/APG, aux allocations familiales et à l’assurance-maternité dues par le recourant pour les années 2009 et 2010 sans prendre en compte le revenu provenant de l'exploitation de l’immeuble de Nyon et qu’elle adapte en conséquence l’intérêt moratoire réclamé pour les arriérés de cotisations. 8. Au vu de ce qui précède, le recours sera admis et la décision sur opposition du 26 février 2015 sera annulée au sens des considérants. Le recourant représenté par un mandataire qualifié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A/975/2015 - 16/16 -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