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ATAS/216/2023 vom 28. März 2023</w:t>
      </w:r>
    </w:p>
    <w:p>
      <w:r>
        <w:t>GE Cour de justice, 2023-03-28, FR</w:t>
      </w:r>
    </w:p>
    <w:p>
      <w:r>
        <w:rPr>
          <w:b/>
        </w:rPr>
        <w:t xml:space="preserve">Quelle: </w:t>
      </w:r>
      <w:r>
        <w:t>https://mcp.opencaselaw.ch/entscheid/ge_gerichte_ATAS_216_2023</w:t>
      </w:r>
    </w:p>
    <w:p>
      <w:r>
        <w:t>FR: GE_GERICHTE ATAS/216/2023 du 28 mars 2023</w:t>
      </w:r>
    </w:p>
    <w:p>
      <w:r>
        <w:t>IT: GE_GERICHTE ATAS/216/2023 del 28 marzo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et compte tenu des féries judiciaires - prévus par la loi, le recours est recevable (art. 38 al. 4 et 56 ss LPGA ainsi que 62 ss de la loi sur la procédure administrative du 12 septembre 1985 [LPA-GE - E 5 10]).</w:t>
      </w:r>
    </w:p>
    <w:p>
      <w:r>
        <w:rPr>
          <w:b/>
        </w:rPr>
        <w:t>E. 4</w:t>
      </w:r>
    </w:p>
    <w:p>
      <w:r>
        <w:t>L'objet du litige porte sur la question du droit ou non du recourant à des prestations de l'AI, rente et/ou mesures professionnelles.</w:t>
      </w:r>
    </w:p>
    <w:p>
      <w:r>
        <w:rPr>
          <w:b/>
        </w:rPr>
        <w:t>E. 5</w:t>
      </w:r>
    </w:p>
    <w:p>
      <w:r>
        <w:t>Le 1er janvier 2022, sont entrées en vigueur les modifications de la LAI du 19 juin 2020 (développement continu de l’AI ; RO 2021 705) ainsi que celles du</w:t>
      </w:r>
    </w:p>
    <w:p>
      <w:r>
        <w:t>A/1486/2022 - 6/19 - 3 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1er janvier 2022, de sorte que les dispositions légales applicables seront citées dans leur ancienne teneur.</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A/1486/2022 - 7/19 -</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6.4</w:t>
      </w:r>
    </w:p>
    <w:p>
      <w:r>
        <w:t>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6.5</w:t>
      </w:r>
    </w:p>
    <w:p>
      <w:r>
        <w:t>En vertu de l'art. 8 al. 1 LAI, les assurés invalides ou menacés d’une invalidité (art. 8 LPGA) ont droit à des mesures de réadaptation – ou mesures professionnelles –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6.6.1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6.6.2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w:t>
      </w:r>
    </w:p>
    <w:p>
      <w:r>
        <w:t>A/1486/2022 - 8/19 -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w:t>
      </w:r>
    </w:p>
    <w:p>
      <w:r>
        <w:t>A/1486/2022 - 9/19 -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6.6.3</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6.7.1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w:t>
      </w:r>
    </w:p>
    <w:p>
      <w:r>
        <w:t>A/1486/2022 - 10/19 -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6.7.2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w:t>
      </w:r>
    </w:p>
    <w:p>
      <w:r>
        <w:t>A/1486/2022 - 11/19 -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6.7.3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A/1486/2022 - 12/19 -</w:t>
      </w:r>
    </w:p>
    <w:p>
      <w:r>
        <w:rPr>
          <w:b/>
        </w:rPr>
        <w:t>E. 6.9</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7.1</w:t>
      </w:r>
    </w:p>
    <w:p>
      <w:r>
        <w:t>En l'espèce, à teneur du rapport d'expertise du 2 juin 2021, à la suite de deux entretiens de 3 heures chacun (les 19 avril et 17 mais 2021), les plaintes spontanées de l'expertisé consistent en ce qui suit: difficulté à trouver un emploi sans formation, dans un contexte d'angoisses fluctuantes sans attaques de panique et d'une tristesse fluctuante sans changement significatif depuis août 2018, malgré un suivi psychiatrique mensuel et un essai de prise de Venlafaxine durant quelques mois; angoisses par rapport à son futur professionnel en raison d'une démotivation par rapport à une prise professionnelle pour le moment et d'une baisse de l'estime de soi, mais motivation actuelle pour les activités positives du quotidien et avec son amie en plus des jeux vidéo; isolement social partiel, mais pas total; hypersensibilité; intolérance à l'effort; fatigue. S'agissant des plaintes exprimées sur questions posées par l'expert F______ ("sur demande"), le recourant se plaint d'une fatigue psychique et physique et d'un appétit diminué, avec toutefois un poids stable actuellement, de troubles de la concentration fluctuants ainsi que du sommeil dans le sens d'insomnies d'endormissement fréquentes et de réveils nocturnes rares, de même que d'idées noires passives sans désir de passage à l'acte avec des angoisses lorsqu'il est confronté à des situations sociales complexes. Par ailleurs, il se plaint d'une anxiété sociale présente depuis la préadolescence, motivant un isolement partiel, mais pas total; il dit ne pas souffrir de troubles cognitifs, mais avoir des blocages lors des moments de stress significatif, notamment des stages, dans un contexte d'hyper-anxiété et phobie sociale, qui ne l'empêche toutefois pas de sortir de chez lui, se promener, partir en vacances à l'étranger et avoir quelques relations sociales avec des amis. À cet égard, d'après l'anamnèse sociale, l'intéressé vit avec sa mère, son frère cadet et sa demi-sœur plus jeune, avec lesquels il entretient de bonnes relations; il voit régulièrement trois amis, quotidiennement son amie et occasionnellement sa famille; il est soutenu par son amie et sa mère, mais il gère son quotidien sans difficultés "en-dehors d'un administratif complexe". En outre, l'expertisé se plaint d'une intolérance à la frustration, d'une diminution de la confiance en soi, mais il maintient une vision positive face à l'avenir personnel, en étant conscient de ses</w:t>
      </w:r>
    </w:p>
    <w:p>
      <w:r>
        <w:t>A/1486/2022 - 13/19 - capacités intellectuelles, mais avec une démotivation totale pour une réadaptation professionnelle actuellement, en expliquant avoir besoin de temps pour son quotidien, pour les jeux vidéo et pour être avec son amie et continuer le suivi psychologique, qui lui fait du bien. Il estime que dans quelques années, il sera intéressé par une réadaptation professionnelle, mais pas pour le moment. Toujours d'après l'expert, l'assuré se plaint de vertiges et d'une sensation de chaleur ponctuellement, et mentionne des accès de colères ponctuelles, lorsqu'il peut taper contre les murs. Par ailleurs, selon l'expert, l'assuré dit ne pas prendre des médicaments hormis le Circadin (mélatonine) en réserve, et il explique qu'après avoir pris par le passé la Venlafaxine 150 mg durant quelques mois, il n'a pas pris ce dernier médicament lors d'une crise d'énervement et a décidé ensuite de ne plus le prendre, "car ceci n'avait pas d'impact sur son quotidien", précisant en outre que "les symptômes n'ont pas non plus d'impact sur son quotidien". L'expert ne retient pas d'incohérence chez un assuré authentique qui décrit sa journée type (qui commence entre 8h00 et 11h00) sans exagération consciente des plaintes; la seule incohérence est une demande de rente à 100 % malgré l'absence de limitations fonctionnelles significatives et objectivables d'un point de vue psychiatrique en dehors de "l'administratif complexe" et des activités nécessitant des interactions sociales intenses ou une hiérarchie complexe. De plus, toujours selon l'expert, l'expertisé exprime clairement des bénéfices assécurologiques, ce qui démontre son authenticité: difficulté de retrouver un emploi sans une formation, besoin de temps pour jouer aux jeux vidéo, voir au quotidien son amie et souvent trois amis proches, faire une promenade quotidienne, mais sans limitations dans le quotidien selon l'anamnèse, étant en outre précisé, notamment, qu'il participe aux courses et à la préparation des repas, fait le ménage de sa chambre, sort la poubelle et "surfe" sur internet (actualités, réseaux sociaux). L'expert pose les diagnostics, sans répercussion sur la capacité de travail, de trouble anxieux et dépressif mixte depuis août 2018 "au présent" (F41.2), de traits de la personnalité anxieuse et dépendante, actuellement non décompensés (Z73.1), trouble qui n'avait pas empêché l'expertisé de gérer son quotidien sans limitations, ainsi que de phobie sociale (F40.1). Il y a selon l'expert une "absence de limitations fonctionnelles psychiatriques objectivables et selon la jurisprudence de novembre 2017", tout au plus des "limitations fonctionnelles psychiatriques" peu significatives en lien avec le trouble anxieux et dépressif mixte dans le sens d'une tristesse subjective fluctuante mais sans répercussions sur le quotidien, d'une fatigue subjective sans ralentissement moteur objectivable, sans aboulie (ni anhédonie), d'une faible résistance au stress, de troubles de la concentration subjectifs (la concentration étant objectivement conservée), d'une tendance à s'angoisser rapidement (moments d'angoisse fluctuante), sans isolement social significatif (seulement partiel) et avec une phobie sociale n'empêchant pas des sorties ni de se faire des amis. La capacité de travail de l'assuré, qui n'a jamais</w:t>
      </w:r>
    </w:p>
    <w:p>
      <w:r>
        <w:t>A/1486/2022 - 14/19 - travaillé, est de "100 % sans baisse de rendement depuis août 2018 au présent selon la jurisprudence de 2017" dans une activité sans interactions sociales complexes ou intenses ni hiérarchie complexe, alors que ses capacités intellectuelles sont nettement au-dessus de la moyenne. "Ceci veut dire que l'assuré aurait pu se former sans l'aide de l'AI dans une activité de type CFC sans difficultés en cas de motivation optimale, ce qui n'a pas été le cas. [L'expertisé] n'aurait pas pu se former sans l'aide de l'AI dans une activité à la hauteur de son potentiel intellectuel, d'où le fait que [l'expert soutient] une réadaptation professionnelle uniquement si l'assuré est motivé". Par ailleurs, le traitement actuel est adéquat, mais un antidépresseur à des taux sanguins efficaces peut accélérer le processus de guérison. Enfin, toujours selon l'expert, la situation n'est pas stabilisée et devrait être réévaluée après une réinsertion professionnelle, car, en cas d'absence d'insertion professionnelle, le pronostic est réservé.</w:t>
      </w:r>
    </w:p>
    <w:p>
      <w:r>
        <w:rPr>
          <w:b/>
        </w:rPr>
        <w:t>E. 7.2</w:t>
      </w:r>
    </w:p>
    <w:p>
      <w:r>
        <w:t>Ce rapport d'expertise repose sur une anamnèse complète, tient compte des plaintes de l'expertisé sur la base d'entretiens, avec une description des interférences médicales claire et des conclusions bien motivées, et remplit ainsi, à tout le moins formellement, toutes les conditions pour se voir reconnaître une pleine valeur probante. Les faits, énoncés sous forme de griefs implicites dans l'opposition au projet de décision et/ou dans la réplique, que l'expert F______ ne se soit pas entretenu avec la Dresse D______ et qu'il se serait vu attribuer par l'OAI (compétent pour le seul canton de Genève) 47 mandats d'expertise psychiatrique au total durant le premier semestre, ne sont en soi pas de nature à remettre en doute la valeur probante du rapport d'expertise, et le recourant ne tire aucune conclusion précise et concrète de ces deux griefs. Pour le reste, le recourant ne conteste pas clairement la retranscription de l'anamnèse et de ses plaintes effectuée par l'expert, ni les constatations de ce dernier à la suite de leurs entretiens.</w:t>
      </w:r>
    </w:p>
    <w:p>
      <w:r>
        <w:rPr>
          <w:b/>
        </w:rPr>
        <w:t>E. 7.3</w:t>
      </w:r>
    </w:p>
    <w:p>
      <w:r>
        <w:t>Certes, les diagnostics posés par l'expert ne correspondent pas à ceux posés auparavant par la psychiatre traitante, à savoir une anxiété généralisée (F41.1) et un épisode dépressif sévère sans symptômes psychotiques (F32.2) en novembre 2018 réduit devenu modéré – ou moyen – (F32.1) en septembre 2020. L'expert expose toutefois pour quels motifs il n'est pas convaincu par les troubles diagnostiqués et l'incapacité de travail retenue par la Dresse D______. À cet égard, on peut relever que les plaintes de l'intéressé et ses limitations fonctionnelles psychiatriques telles que décrites par l'expert sont pour la plupart les mêmes que celles relevées par la psychiatre traitante dans son rapport du 17 septembre 2021, avec toutefois la différence que celle-ci les considère comme importantes, au contraire de l'expert. Au demeurant, certaines des constatations exposées par la Dresse D______ dans le "status psychiatrique détaillé" de ce rapport ne font pas état d'une gravité particulièrement importante: notamment, "attention, concentration et mémoire légèrement diminuées", "thymie triste</w:t>
      </w:r>
    </w:p>
    <w:p>
      <w:r>
        <w:t>A/1486/2022 - 15/19 - modérément, affects congruents à l'humeur", appétit "légèrement réduit", "anhédonie et baisse d'intérêt pour ce qui lui plaît, appréhension pour l'avenir avec des pensées pessimistes".</w:t>
      </w:r>
    </w:p>
    <w:p>
      <w:r>
        <w:rPr>
          <w:b/>
        </w:rPr>
        <w:t>E. 7.4</w:t>
      </w:r>
    </w:p>
    <w:p>
      <w:r>
        <w:t>Quant à la divergence d'appréciation de la Dresse D______ par rapport aux conclusions de l'expert au sujet de la capacité de travail de l'intéressé, exprimée dans son rapport du 29 mars 2022, elle n'est pas motivée et n'est, contrairement à ce qui était annoncé dans l'acte de recours, pas de nature à remettre en cause lesdites conclusions.</w:t>
      </w:r>
    </w:p>
    <w:p>
      <w:r>
        <w:rPr>
          <w:b/>
        </w:rPr>
        <w:t>E. 7.5.1</w:t>
      </w:r>
    </w:p>
    <w:p>
      <w:r>
        <w:t>Dans le cadre de la catégorie "degré de gravité fonctionnelle" (I.) des indicateurs développés par la jurisprudence du Tribunal fédéral, il sied de relever que, selon la CIM-10, la catégorie du trouble anxieux et dépressif mixte (F41.2) – diagnostiqué par l'expert F______ – doit être utilisée quand le sujet présente à la fois des symptômes anxieux et des symptômes dépressifs, sans prédominance nette des uns ou des autres et sans que l’intensité des uns ou des autres soit suffisante pour justifier un diagnostic séparé (téléchargeable d'internet à l'adresse "https://www.bfs.admin.ch/asset/fr/20665872"). En outre, le diagnostic de traits de la personnalité anxieuse et dépendante, actuellement non décompensés, est placé par l'expert dans la catégorie des "difficultés liées à l’orientation de son mode de vie" (Z73.1). Or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 dans le cadre d'une procédure d'établissement des faits structurée, avec des indicateurs -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6.3 et les références). Dans le cas présent, on ne voit pas quelle explication éventuellement concluante de la part du recourant ou de la psychiatre traitante pourrait justifier une diminution considérable de la capacité de travail malgré l'absence de trouble psychique grave. Du reste, selon le second rapport de la Dresse D______, l'épisode dépressif est désormais modéré (ou moyen). Au surplus, selon la jurisprudence, des traits de personnalité – comme en l'occurrence – signifient que les symptômes constatés ne sont pas suffisants pour</w:t>
      </w:r>
    </w:p>
    <w:p>
      <w:r>
        <w:t>A/1486/2022 - 16/19 -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ce qui doit manifestement valoir aussi pour le diagnostic de phobie sociale (F40.1).</w:t>
      </w:r>
    </w:p>
    <w:p>
      <w:r>
        <w:rPr>
          <w:b/>
        </w:rPr>
        <w:t>E. 7.5.2</w:t>
      </w:r>
    </w:p>
    <w:p>
      <w:r>
        <w:t>Pour ce qui est des autres indicateurs développés par la jurisprudence du Tribunal fédéral, force est de constater qu'aucun n'est en faveur d'une incapacité de travail de l'intéressé au plan psychique. Notamment, le rapport d'expertise fait ressortir une capacité en grande partie intacte de l'assuré de s'investir dans des activités du quotidien et des loisirs, de même que ses relations familiales, amicales et affectives. Selon la jurisprudence sous axe "contexte social" (C.),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Il sied de relever ici "une absence de limitation de façon uniforme dans tous les domaines d'activité de la vie quotidienne malgré une absence de traitement antidépresseur" (rapport du SMR du 25 novembre 2021 suivant le rapport d'expertise), de même que l'existence d'un réseau familial et social favorable au recourant, qui apparaît disposer de ressources suffisantes pour surmonter les effets de ses troubles psychiques légers sur sa capacité de travail. L'existence de ressources suffisantes ressort au demeurant aussi des activités quotidiennes qu'effectue l'intéressé, telles que décrites dans le cadre de la journée type par l'expert, dont la description ne diffère pas substantiellement de celle effectuée par la psychiatre traitante dans son rapport du 17 septembre 2020.</w:t>
      </w:r>
    </w:p>
    <w:p>
      <w:r>
        <w:t>A/1486/2022 - 17/19 -</w:t>
      </w:r>
    </w:p>
    <w:p>
      <w:r>
        <w:rPr>
          <w:b/>
        </w:rPr>
        <w:t>E. 7.6</w:t>
      </w:r>
    </w:p>
    <w:p>
      <w:r>
        <w:t>Le problème principal qui entrave le recourant dans la recherche et la reprise d'un travail apparaît être son manque de motivation, comme le note, sans être contredit, l'expert, d'après lequel "l'assuré présente une motivation nulle pour une reprise professionnelle, une bonne motivation pour un suivi psychothérapeutique et nulle pour les antidépresseurs proposés". Ceci n'est pas infirmé par le contenu du "rapport final – MOP" du 16 décembre 2021 dans lequel la division réadaptation professionnelle de l'OAI mentionne que, le 27 mars 2020, l'assuré l'informe qu'il s'est davantage concentré sur lui-même et son traitement mais qu'il a toujours envie de recommencer des mesures lorsqu'il ira mieux, le plus tôt possible, et explique qu'il gère mieux qu'auparavant les crises d'angoisse. Or cette absence de motivation n'apparaît pas causée par une atteinte à la santé, mais relève d'un problème de volonté de la part de l'assuré de mettre en œuvre ses ressources personnelles en vue de trouver un emploi (à 100 %), quand bien même des souffrances et difficultés personnelles réelles de l'intéressé ne sont pas à minimiser. Ledit manque de motivation ne saurait relever de l'AI.</w:t>
      </w:r>
    </w:p>
    <w:p>
      <w:r>
        <w:rPr>
          <w:b/>
        </w:rPr>
        <w:t>E. 7.7</w:t>
      </w:r>
    </w:p>
    <w:p>
      <w:r>
        <w:t>Au regard de ce qui précède, aucun élément ne permet de mettre en doute les conclusions de l'expert selon lesquelles le recourant dispose depuis août 2018 d'une pleine capacité de travail, sans diminution de rendement, dans une activité sans interactions sociales intenses ni hiérarchie complexe. Cette conclusion enlève toute pertinence à l'argument de l'assuré selon lequel ses stages ont été interrompus en raison d'atteintes à la santé invalidantes. En effet, l'expert n'a, de manière pas convaincante, pas suivi l'appréciation de la Dresse D______ relative à la capacité de travail de l'intéressé, ce qui vaut aussi pour le certificat d'arrêt de travail émis le 5 novembre 2019 par celle-ci. Certes, comme cela ressort des courriels et rapports de E______, des EPI et de la division réadaptation professionnelle de l'OAI, l'intéressé apparaît avoir des blocages, avec en particulier de l'angoisse, lors de moments susceptibles de lui causer un stress, notamment des stages, dans un contexte d'anxiété et phobie sociale, et avoir une faible résistance au stress, mais cet obstacle n'est pas d'une intensité telle qu'il constituerait une réduction de la capacité de travail ou même une baisse de rendement, l'intéressé apparaissant apte à surmonter cette difficulté, comme retenu par l'expert. Vu la pleine valeur probante du rapport d'expertise, il n'y a aucun motif d'ordonner une éventuelle expertise psychiatrique judiciaire. Les "limitations fonctionnelles psychiatriques" peu significatives énoncées par l'expert ne sont pas d'une intensité telle qu'elles pourraient le cas échéant conduire à une diminution de la capacité de gain de l'intéressé ou même à une réduction du nombre possible des emplois qu'il pourrait trouver en accomplissant les efforts qui peuvent être attendus de lui. En l'absence de toute incapacité de gain ou invalidité, il n'existe un droit ni à une rente (cf. art. 28 et 28b LAI a contrario), ni à de quelconques mesures</w:t>
      </w:r>
    </w:p>
    <w:p>
      <w:r>
        <w:t>A/1486/2022 - 18/19 - professionnelles (cf. art. 8 al. 1 LAI a contrario). Certes, selon l'expert, l'assuré aurait pu se former sans l'aide de l'AI dans une activité de type CFC sans difficultés en cas de motivation optimale, ce qui n'a pas été le cas, mais il n'aurait pas pu se former sans cette aide dans une activité à la hauteur de son potentiel intellectuel, l'expert soutenant ainsi une réadaptation professionnelle uniquement si le recourant est motivé; ces assertions de l'expert relativement à une éventuelle réadaptation professionnelle ne remettent aucunement en cause ce qu'il retient en matière de capacité de travail, et la chambre de céans est seule compétente pour tirer des conclusions de l'absence de toute incapacité de gain. Il n'est pas utile ou nécessaire d'entendre en audience le recourant "confirmer son accord et sa motivation à poursuivre une telle mesure", comme il le propose dans sa réplique. Même s'il le souhaitait, l'assuré ne peut pas bénéficier de mesures visant à l'aider à retrouver un emploi dans le cadre de l'AI, mais il lui appartient de s'adresser à cette fin à d'autres institutions ou organismes.</w:t>
      </w:r>
    </w:p>
    <w:p>
      <w:r>
        <w:rPr>
          <w:b/>
        </w:rPr>
        <w:t>E. 8</w:t>
      </w:r>
    </w:p>
    <w:p>
      <w:r>
        <w:t>Vu ce qui précède, la décision querellée est conforme au droit, et le recours sera dès lors rejeté.</w:t>
      </w:r>
    </w:p>
    <w:p>
      <w:r>
        <w:rPr>
          <w:b/>
        </w:rPr>
        <w:t>E. 9</w:t>
      </w:r>
    </w:p>
    <w:p>
      <w:r>
        <w:t>Bien que la procédure ne soit pas gratuite en matière d'assurance-invalidité (art. 69 al. 1bis LAI),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w:t>
      </w:r>
    </w:p>
    <w:p>
      <w:r>
        <w:t>A/1486/2022 - 19/19 -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