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ATAS/216/2011 vom 22. Februar 2011</w:t>
      </w:r>
    </w:p>
    <w:p>
      <w:r>
        <w:t>GE Cour de justice, 2011-02-22, FR</w:t>
      </w:r>
    </w:p>
    <w:p>
      <w:r>
        <w:rPr>
          <w:b/>
        </w:rPr>
        <w:t xml:space="preserve">Quelle: </w:t>
      </w:r>
      <w:r>
        <w:t>https://mcp.opencaselaw.ch/entscheid/ge_gerichte_ATAS_216_2011</w:t>
      </w:r>
    </w:p>
    <w:p>
      <w:r>
        <w:t>FR: GE_GERICHTE ATAS/216/2011 du 22 février 2011</w:t>
      </w:r>
    </w:p>
    <w:p>
      <w:r>
        <w:t>IT: GE_GERICHTE ATAS/216/2011 del 22 febbraio 2011</w:t>
      </w:r>
    </w:p>
    <w:p>
      <w:pPr>
        <w:pStyle w:val="Heading2"/>
      </w:pPr>
      <w:r>
        <w:t>Erwägungen</w:t>
      </w:r>
    </w:p>
    <w:p>
      <w:r>
        <w:rPr>
          <w:b/>
        </w:rPr>
        <w:t>E. 1</w:t>
      </w:r>
    </w:p>
    <w:p>
      <w:r>
        <w:t>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w:t>
      </w:r>
    </w:p>
    <w:p>
      <w:r>
        <w:t>A/3500/2010 - 13/19 - Tribunal cantonal des assurances sociales (art. 143 al. 6 de la LOJ du 9 octobre 2009).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une rente d'invalidité et/ou à des mesures d'ordre professionnel dès décembre 2008.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20 août 2009 qui a été confirmé par la décision du 21 septembre 2010 contre laquelle l'assuré a interjeté directement recours devant le Tribunal de céans le 16 novembre 2010. c) Interjeté dans les forme et délai prévus par la loi, devant l'autorité compétente, le recours est en conséquence recevable (art. 56 ss LPGA).</w:t>
      </w:r>
    </w:p>
    <w:p>
      <w:r>
        <w:rPr>
          <w:b/>
        </w:rPr>
        <w:t>E. 3</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Selon l'art. 28 LAI, l'assuré a droit à une rente aux conditions suivantes :</w:t>
      </w:r>
    </w:p>
    <w:p>
      <w:r>
        <w:t>A/3500/2010 - 14/19 -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d)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 Le revenu de la personne valide se détermine en établissant au degré de la vraisemblance prépondérante ce qu'elle aurait effectivement pu réaliser au moment</w:t>
      </w:r>
    </w:p>
    <w:p>
      <w:r>
        <w:t>A/3500/2010 - 15/19 -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4</w:t>
      </w:r>
    </w:p>
    <w:p>
      <w:r>
        <w:t>a) En sus de l'article 14a LAI instituant des mesures de réinsertion préparant à la réadaptation, les articles 15 et suivants LAI prévoient plusieurs mesures d'ordre professionnel, soit l'orientation professionnelle (art.15 LAI), la formation professionnelle initiale (art.16 LAI), le reclassement (art.17 LAI), le placement (art. 18), l'allocation initiale au travail (art. 18a LAI) et l'aide en capital (art. 18b LAI). b) Selon l'article 17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En revanche, le seuil minimum fixé par la jurisprudence pour ouvrir droit à une mesure de reclassement est une diminution de la capacité de gain de l’ordre de 20 % (ATF 124 V 108 consid. 2b et les références).</w:t>
      </w:r>
    </w:p>
    <w:p>
      <w:r>
        <w:t>A/3500/2010 - 16/19 - c) L'article 18 LAI prévoit que l'assuré qui présente une incapacité de travail (art. 6 LPGA) et qui est susceptible d'être réadapté a droit à un soutien actif dans la recherche d'un emploi, un conseil suivi afin de conserver un emploi.</w:t>
      </w:r>
    </w:p>
    <w:p>
      <w:r>
        <w:rPr>
          <w:b/>
        </w:rPr>
        <w:t>E. 5</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A/3500/2010 - 17/19 - sociales, il y a lieu toutefois de poser des exigences sévères quant à l'impartialité de l'expert (ATF 125 V 353 consid. 3b/ee, ATFA non publié du 13 mars 2000, I 592/99, consid. 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Ce n'est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que la cause ne peut être tranchée en se fondant sur l'un ou l'autre de ces avis et qu'il y a alors lieu de mettre en œuvre une expertise par un médecin indépendant selon la procédure de l'article 44 LPGA ou une expertise judiciaire (ATF 135 V 465).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w:t>
      </w:r>
    </w:p>
    <w:p>
      <w:r>
        <w:rPr>
          <w:b/>
        </w:rPr>
        <w:t>E. 6</w:t>
      </w:r>
    </w:p>
    <w:p>
      <w:r>
        <w:t>Dans le cas d'espèce, le Dr L__________ relevait, dans son rapport du 7 janvier 2009 déjà, un probable état dépressif. Un éventuel trouble psychique est également soulevé par le Dr N________ le 14 septembre 2010. D’ailleurs, le SMR suggère le</w:t>
      </w:r>
    </w:p>
    <w:p>
      <w:r>
        <w:rPr>
          <w:b/>
        </w:rPr>
        <w:t>E. 10</w:t>
      </w:r>
    </w:p>
    <w:p>
      <w:r>
        <w:t>décembre 2010 de solliciter des renseignements sur l’état dépressif de l’assurée évoqué par ses médecins. En audience, l’OAI a admis que l’état psychique de</w:t>
      </w:r>
    </w:p>
    <w:p>
      <w:r>
        <w:t>A/3500/2010 - 18/19 - l’assurée devait être investigué de façon plus approfondie, admettant ainsi le renvoi du dossier pour instruction complémentaire. S’agissant de l’état du santé du point de vue physique, et en particulier des conséquences sur la capacité de travail de l’assurée, de la rectolite ulcéro- hémorragique distale qui l’affecte, les rapport médicaux du Dr O________ et du Dr N________, qui retiennent une amélioration objective de l’affection et une bonne réponse au traitement, sont convaincants, sous réserve de ce qui suit. En premier lieu, le Dr O________ semble retenir, à tort, que l’activité professionnelle de l’assurée n’implique pas de port de charges, ce qui a conduit, peut-être, à une appréciation erronée quant à sa capacité de travail dans sa profession actuelle. En second lieu, les deux médecins ne motivent pas suffisamment leur avis, lorsqu’ils affirment que les traitement prescrits sont optimisés et bien tolérés, sans expliquer pourquoi ils s'écartent de l'avis du médecin traitant de l’assurée qui affirme que sa patiente est intolérante au Remicade et à l'Imurec et fait état d’effets secondaires invalidants. En troisième lieu, il n’est pas certain que l’alternance des périodes de rémission et celles durant lesquelles l’assurée continue à présenter de nombreuses émissions de selles, sanglantes ou pas, avec des douleurs abdominales, ait été correctement appréciée, du point de vue de leur effet sur la capacité de travail de l’assurée. Ainsi, il convient de procéder à une instruction complémentaire bidisciplinaire, soit un examen médical ou une expertise confiée à un psychiatrie et un gastro- entérologue, afin d’éclaircir les points qui précèdent et, surtout, établir la capacité de travail globale de l’assurée, pour l’ensemble des affections somatiques et psychiques qui seront diagnostiquées. Dans la mesure où l’aspect médical n’est pas clairement établi, la question des mesures de réadaptation, que ce soit une simple orientation, un reclassement ou une aide au placement est prématurée. En fonction toutefois du résultat des investigations médicales et de l’éclaircissement de la question du port de charges dans l’activité dans l’assurée, l’OAI devra également examiner le droit de l’assurée à une des mesures de réadaptation professionnelle prévues par la loi. A noter qu’il serait regrettable que la capacité de travail de l’assurée, qui travaille à 50 % depuis plus d'un an, ne soit pas préservée. 7. Au bénéfice des explications qui précèdent, la chambre des assurance sociales de la Cour admet partiellement le recours en ce sens que la cause est renvoyée à l'intimée pour instruction complémentaire dans le sens des considérants. La recourante, qui obtient partiellement gain de cause, a droit à une indemnité à titre de participation à ses frais et dépens, que la Cour fixe en l'espèce à 2'000 fr. (art. 61 let. g LPGA ; art. 89H al. 3 LPA). L'intimé sera par ailleurs condamné à un émolument de 200 fr. (art. 69 al. 1 bis LAI).</w:t>
      </w:r>
    </w:p>
    <w:p>
      <w:r>
        <w:t>A/3500/2010 - 19/19 -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