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ATAS/216/2009 vom 2. September 2008</w:t>
      </w:r>
    </w:p>
    <w:p>
      <w:r>
        <w:t>GE Cour de justice, 2008-09-02, FR</w:t>
      </w:r>
    </w:p>
    <w:p>
      <w:r>
        <w:rPr>
          <w:b/>
        </w:rPr>
        <w:t xml:space="preserve">Quelle: </w:t>
      </w:r>
      <w:r>
        <w:t>https://mcp.opencaselaw.ch/entscheid/ge_gerichte_ATAS_216_2009</w:t>
      </w:r>
    </w:p>
    <w:p>
      <w:r>
        <w:t>FR: GE_GERICHTE ATAS/216/2009 du 2 septembre 2008</w:t>
      </w:r>
    </w:p>
    <w:p>
      <w:r>
        <w:t>IT: GE_GERICHTE ATAS/216/2009 del 2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A/3714/2008 3/4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ex-époux de ce qu'ils étaient d'accord de se partager par moitié leurs prestations de sorties accumulées pendant le mariage. Les dates pertinentes sont, d’une part, celle du mariage, le 21 juillet 1990, d’autre part le 9 octobre 2008, date à laquelle le jugement de divorce est devenu exécutoire.</w:t>
      </w:r>
    </w:p>
    <w:p>
      <w:r>
        <w:rPr>
          <w:b/>
        </w:rPr>
        <w:t>E. 4</w:t>
      </w:r>
    </w:p>
    <w:p>
      <w:r>
        <w:t>Selon les renseignements recueillis, la prestation acquise pendant le mariage par le demandeur est de 104'141 fr. 35 (102'509 fr. 05 + 1'632 fr. 30) tandis que celle acquise par la demanderesse est de 102'358 fr. 15. Ainsi, le demandeur doit à son ex-épouse le montant de 52'070 fr. 70 (104'141 fr. 35 : 2) et celle-ci lui doit la somme de 51'179 fr. 10 (102'358 fr. 15 : 2), de sorte que c’est le demandeur qui doit à son ex-épouse le montant de 891 fr. 60 (52'070 fr. 70 - 51'179 fr. 10). Le demandeur disposant d'une prestation de sortie auprès de la Fondation institution supplétive LPP qui aurait dû être transférée à son institution de prévoyance professionnelle actuelle (art. 3 al. 1 LFLP), il appartiendra à cette fondation de transférer la somme due à la caisse de prévoyance de la demanderesse.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A/3714/2008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