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ATAS/215/2011 vom 22. Februar 2011</w:t>
      </w:r>
    </w:p>
    <w:p>
      <w:r>
        <w:t>GE Cour de justice, 2011-02-22, FR</w:t>
      </w:r>
    </w:p>
    <w:p>
      <w:r>
        <w:rPr>
          <w:b/>
        </w:rPr>
        <w:t xml:space="preserve">Quelle: </w:t>
      </w:r>
      <w:r>
        <w:t>https://mcp.opencaselaw.ch/entscheid/ge_gerichte_ATAS_215_2011</w:t>
      </w:r>
    </w:p>
    <w:p>
      <w:r>
        <w:t>FR: GE_GERICHTE ATAS/215/2011 du 22 février 2011</w:t>
      </w:r>
    </w:p>
    <w:p>
      <w:r>
        <w:t>IT: GE_GERICHTE ATAS/215/2011 del 22 febbraio 2011</w:t>
      </w:r>
    </w:p>
    <w:p>
      <w:pPr>
        <w:pStyle w:val="Heading2"/>
      </w:pPr>
      <w:r>
        <w:t>Erwägungen</w:t>
      </w:r>
    </w:p>
    <w:p>
      <w:r>
        <w:rPr>
          <w:b/>
        </w:rPr>
        <w:t>E. 39</w:t>
      </w:r>
    </w:p>
    <w:p>
      <w:r>
        <w:t>Par mémoire de réponse du 17 novembre 2010, l'intimée conclut au rejet du recours. Elle produit dans ce cadre un rapport établi par le Dr F__________ daté du 24 août 2010, lequel se prononce sur l'avis du Dr Q___________ daté du 21 juin 2010. S'agissant de l'épaule gauche, le Dr F__________ relève qu'il est possible que les douleurs soient persistantes, mais l'état de santé en relation avec l'accident du 19 décembre 2004 est stabilisé: il existait une amyotrophie de l'épaule gauche, secondaire aux multiples interventions pratiquées, et celle-ci est irréversible. L'expert persiste à dire que si des douleurs sont présentes actuellement, alors que le traitement médical a pris fin depuis le milieu de l'année 2006, il faut se poser la question des conséquences de la cervicarthrose C5 à C7, compatible avec l'âge, avant de chercher à tout prix un lien de causalité avec un accident passé. Selon les normes de la SUVA, ce type de pathologie n'est pas admise après 40 ans, tant sur le plan accidentel que le plan des maladies professionnelles. Quant au risque quasi- certain d'arthrose post-traumatique chez une assurée née en 1946, sans troubles dégénératifs et sans limitation de l'amplitude articulaire constatée lors de l'expertise, en l'absence de traumatismes dans le cadre de l'activité professionnelle exercée précédemment et sachant que l'IPAI est seulement de 5 % dans les cas graves, l'expert rejette l'avis du médecin-traitant. De plus, une arthrose est possible pour l'articulation acromio-claviculaire et sterno-claviculaire selon le Dr Q___________, alors que le seul risque éventuel est une arthrose acromio-claviculaire, indemnisable uniquement dans les cas graves, ce qui n'est pas le cas de la recourante. S'agissant de la lésion du genou gauche, le Dr F__________ maintient ce qu'il a déjà indiqué dans ses précédents avis, et ajoute que la relation de causalité sur ce point ne saurait être examinée à la seule lumière de l'accident du 24 octobre 2008, comme le fait le médecin-traitant, mais qu'il faut remonter à 2005.</w:t>
      </w:r>
    </w:p>
    <w:p>
      <w:r>
        <w:rPr>
          <w:b/>
        </w:rPr>
        <w:t>E. 40</w:t>
      </w:r>
    </w:p>
    <w:p>
      <w:r>
        <w:t>Par pli du 23 décembre 2010, la recourante considère que les commentaires du Dr F__________ doivent être pris avec réserve, dès lors qu'il n'est pas mentionné qu'il est titulaire d'une spécialisation FMH. Par ailleurs, elle considère que le Dr F__________ n'a pas un niveau de compétence assécurologique suffisant pour emporter la conviction du Tribunal.</w:t>
      </w:r>
    </w:p>
    <w:p>
      <w:r>
        <w:rPr>
          <w:b/>
        </w:rPr>
        <w:t>E. 41</w:t>
      </w:r>
    </w:p>
    <w:p>
      <w:r>
        <w:t>Sur quoi, la cause a été gardée à juger. EN DROIT</w:t>
      </w:r>
    </w:p>
    <w:p>
      <w:r>
        <w:t>A/2212/2010 - 16/27 - 1.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entrée en vigueur le 1er janvier 2003, est applicable au cas d’espèce. 3. Le recours, interjeté dans les forme et délai prévus par la loi, est recevable (art. 56 à 60 LPGA). 4. Le litige porte sur la question de savoir s'il y a un le lien de causalité naturelle et adéquate entre les lésions du genou gauche de la recourante et les accidents des 19 décembre 2004, 26 mai 2005 et 24 octobre 2008, sur la question de savoir si le traitement de la cheville et de l'épaule gauche est terminé, ainsi que de savoir si la recourante a droit à une indemnité pour atteinte à l'intégrité pour les lésions orthopédiques.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w:t>
      </w:r>
    </w:p>
    <w:p>
      <w:r>
        <w:t>A/2212/2010 - 17/27 -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c)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Le lien de causalité adéquate est une question de droit qu'il appartient à l'administration et, en cas de recours, au juge de trancher.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En présence d’accidents successifs ayant des répercussions sur la même partie du corps, notamment en cas de distorsions cervicales ou de mécanismes similaires, la question de la causalité adéquate s’apprécie de façon globale, tant il est vrai qu’il n’est guère possible de distinguer entre les événements accidentels lequel a généré quelle conséquence particulière (cf. Duc, La jurisprudence des assurances sociales concernant les traumatismes cervicaux, RSAS 52/2008, p. 67 ; arrêts non publiés du TF 8C_415/2007 du 1er juillet 2008 consid. 5 et 8C_644/2009 du 17 mars 2010 consid. 5.2).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no U 142 p. 75, consid. 4b).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w:t>
      </w:r>
    </w:p>
    <w:p>
      <w:r>
        <w:t>A/2212/2010 - 18/27 -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(ATFA non publié du 14 février 2006, U 351/04 et les références). 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6.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 Le droit au traitement médical existe aussi longtemps qu'on peut en attendre une amélioration sensible de l'état de santé de l'assuré (art. 19 al. 1 LAA a contrario; ATF 116 V 44 consid. 2c; ATFA non publié du 23 mars 2000, U 378/99 consid. 3a et les références). Le droit au traitement médical cesse dès la naissance du droit à la rente (art. 19 al. 1, 2ème phrase, LAA). 7. 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s’il existe un droit à une indemnité journalière de l’assurance- invalidité ou à une allocation de maternité selon la loi du 25 septembre 1952 sur les allocations pour perte de gain (LAPG) (al. 3). b)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8. a) A teneur de l'art. 24 al. 1 LAA, l’assuré qui, par suite de l’accident, souffre d’une atteinte importante et durable à son intégrité physique, mentale ou psychique, a</w:t>
      </w:r>
    </w:p>
    <w:p>
      <w:r>
        <w:t>A/2212/2010 - 19/27 - droit à une indemnité équitable pour atteinte à l’intégrité. L’indemnité est fixée en même temps que la rente d’invalidité ou, si l’assuré ne peut prétendre une rente, lorsque le traitement médical est terminé (al. 2).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b)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 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c)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w:t>
      </w:r>
    </w:p>
    <w:p>
      <w:r>
        <w:t>A/2212/2010 - 20/27 - compatibles avec l'annexe 3 à l'OLAA (ATF 124 V 32 consid. 1c, 211 consid. 4a/cc, 116 V 157 consid. 3a; ATFA non publié du 28 novembre 2003, U 11/03). Elles permettent de procéder à une appréciation plus nuancée, lorsque l'atteinte d'un organe n'est que partielle. d) Le taux d'une atteinte à l'intégrité doit être évalué exclusivement sur la base de constatations médicales (arrêt du Tribunal fédéral du 4 février 2009, 8C_459/2008, consid. 2.3 ; ATF 115 V 147, consid. 1 ; ATF 113 V 218, consid. 4b p. 221; RAMA 2004 no U 514 p. 415, U 134/03 consid. 5.2; Alfred Maurer, Schweizerisches Unfallversicherungsrecht, p. 417; Ulrich Meyer-Blaser, Sozialversicherungsrecht und Medizin, in: Das ärtzliche Gutachten, 4e éd., Berne 2003, p. 30). Comme elle doit être prise en compte lors de l'évaluation initiale de l'atteinte à l'intégrité (Thomas Frei, Die Integritätsentschädigung nach Art. 24 und 25 des Bundesgesetzes über die Unfallversicherung, thèse Fribourg, 1998, p. 50), l'importance prévisible de l'atteinte doit être également fixée sur la base des constatations du médecin. 9.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30 novembre 2004, U 222/04; du 14 octobre 2004, U 66/04; du 4 octobre 2004, U 159/04 et du 20 décembre 2005, U/359/04).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w:t>
      </w:r>
    </w:p>
    <w:p>
      <w:r>
        <w:t>A/2212/2010 - 21/27 - b)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w:t>
      </w:r>
    </w:p>
    <w:p>
      <w:r>
        <w:t>A/2212/2010 - 22/27 - désignation comme rapport ou comme expertise, mais bel et bien son contenu (ATF 125 V 351 consid. 3a, 122 V 160 consid. 1c et les références).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f) Selon la jurisprudence, la valeur probante d'une expertise dans une discipline médicale particulière dépend du point de savoir si l'expert dispose d'une formation spécialisée dans le domaine concerné. Le titre de spécialiste (FMH) n'en est en revanche pas une condition (ATF non publié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(ATF non publié 9C_359/2009 du 26 mars 2010 consid. 4.3 et les références). 11. En l'espèce, la recourante considère, s'appuyant ainsi sur l'avis de son médecin- traitant, le Dr Q___________, que le lien de causalité naturelle entre les lésions du genou gauche et l'accident du 24 octobre 2008 est prépondérant. Pour sa part, l'intimée le rejette, se basant sur les avis du Dr F__________. Pour rappel, le CEMED, dans son rapport du 26 mars 2007, a retenu que la déchirure du ménisque interne du genou gauche est en relation de causalité très vraisemblable avec l'accident du 26 mai 2005. En effet, la recourante n'a pas ressenti de douleurs au genou gauche après cet accident, mais elles sont apparues rapidement dès qu'elle a arrêté les cannes qu'elle utilisait en raison de la fracture de la cheville. La lésion du genou a parfaitement pu passer inaperçue jusqu'alors. Quant à la chondropathie de grade I du condyle fémoral interne du genou gauche, elle est en relation de causalité possible avec l'accident du 26 mai 2005, la lésion étant plus probablement dégénérative et antérieure à l'accident. Toutefois, l'évaluation arthroscopique des lésions permettra de mieux juger d'un lien de causalité entre les plaintes actuelles et les accidents. Quant au Dr F__________, il expose, en substance, que les lésions au genou sont de nature dégénérative, sans rapport de causalité naturelle avec les trois accidents en question.</w:t>
      </w:r>
    </w:p>
    <w:p>
      <w:r>
        <w:t>A/2212/2010 - 23/27 - Quant au médecin-traitant, il expose que les lésions du genou gauche sont bien dues à l'accident du 24 octobre 2008, par torsion du genou, ayant entrainé des lésions du ménisque interne sur ménisque restant comme le prouvent l'IRM et les constatations opératoires. C'est indépendant des lésions cartilagineuses progressives débutées comme conséquences de l'accident de décembre 2004. Au regard de ces avis divergents, il sied d'examiner, au vu des critères établis par la jurisprudence, si l'un ou l'autre doit se voir conférer pleine valeur probante. Les divers avis du Dr F__________, expliquant les raisons pour lesquelles il considère qu'il n'y a pas de lien de causalité entre les lésions au genou gauche et les accidents en question, sont étayés. En effet, au regard des accidents dont a été victime la recourante et des lésions qu'elle présente, ce médecin explique de manière circonstanciée les motifs pour lesquels il ne retient pas de lien de causalité, considérant bien plutôt qu'il s'agit d'une lésion dégénérative, de type maladif, et donc non accidentel. Ses explications sont convaincantes, l'évolution des atteintes au genou gauche étant expliquée tant chronologiquement que physiquement, au regard des trois accidents dont la recourante a été victime. Par ailleurs, l'expert s'est prononcé en pleine connaissance du dossier, et son avis ne contient pas de contradiction. Certes, il relève, s'agissant du deuxième accident, qu'il a eu lieu dans un bus alors qu'il a eu lieu dans un escalier. Cela ne change toutefois rien au mécanisme de l'événement. Quant au Dr Q___________, il se limite à relever que le lien de causalité entre les lésions du genou et l'accident du 2008 est prépondérant. L'on ne comprend pas bien pourquoi il existerait un lien de causalité entre l'accident de 2008 et les lésions au genou, alors même que ces lésions étaient préexistantes, lui-même l'admettant dans son rapport du 7 octobre 2010. Par ailleurs, le Dr Q___________ relève que la causalité est évidente, sans toutefois développer son propos. De plus, dans le cadre de son rapport établi après la consultation du mois d'octobre 2006, il indiquait, contrairement à ses avis subséquents, que le problème d'imbrication entre les lésions cartilagineuses et méniscales étaient sans rapport avec l'accident (du 25 mai 2005 ou du 19 décembre 2004). Enfin, il indique, dans son rapport du 21 juin 2010, que les lésions du genou gauche sont bien dues à l'accident du 24 octobre 2008, par torsion du genou, ayant entraîné des lésions du ménisque interne sur ménisque restant, comme le prouvent l'IRM et les constatations opératoires, indépendamment des lésions cartilagineuses progressives débutées comme conséquences de l'accident de décembre 2004. Toutefois, et jusque là, aucune lésion du genou gauche n'avait été mise en évidence des suites de l'accident du 19 décembre 2004. Partant, les divers avis du Q___________ ne sauraient remettre en question ceux du Dr F__________, faute d'être motivés, d'une part, et étant contradictoires, d'autre part.</w:t>
      </w:r>
    </w:p>
    <w:p>
      <w:r>
        <w:t>A/2212/2010 - 24/27 - Enfin, l'avis du CEMED ne saurait être suivi, dès lors qu'il était et est soumis à la condition d'un examen complémentaire par arthroscopie. Au vu de ce qui précède, force est de constater que seul l'avis du Dr F__________ remplit les réquisits jurisprudentiels pour se voir conférer pleine valeur probante. Par conséquent, la Cour retiendra qu'il n'est pas démontré, au degré de la vraisemblance prépondérante, que les lésions du genou gauche sont en lien de causalité naturelle avec les accidents du 24 octobre 2008 et du 26 mai 2005, cas échéant du 19 décembre 2004, de sorte que la décision querellée n'est, sous cet angle, pas critiquable. Pour le surplus, la recourante fait valoir que l'avis du Dr F__________ ne saurait être suivi, dès lors qu'il n'est pas titulaire d'une spécialisation FMH. Toutefois, selon la jurisprudence, la valeur probante d'une expertise dans une discipline médicale particulière dépend du point de savoir si l'expert dispose d'une formation spécialisée dans le domaine concerné. Le titre de spécialiste (FMH) n'est en revanche pas une condition. En l'espèce, il ne fait pas de doute que le Dr F__________ est spécialisé dans le domaine de la chirurgie orthopédique, ce que ne conteste d'ailleurs pas la recourante. Quoi qu'il en soit, le Dr F__________ est titulaire du titre FMH de chirurgie orthopédique et traumatologie de l'appareil locomoteur, depuis 1987, comme cela ressort du site internet de la FMH (http://www.doctorfmh.ch/index_fr.cfm). Aussi, l'argument de la recourante à ce sujet est sans pertinence. 12. En deuxième lieu, se pose la question de la poursuite des traitements s'agissant de la cheville et de l'épaule gauche. Selon l'expert, il n'y a pas lieu d'attendre des traitements une amélioration de l'état de santé de la recourante, malgré les douleurs décrites, en ce sens où aucun traitement ne serait propre à améliorer son état de santé. Quant à la recourante, elle conteste ce point de vue. Elle s'appuie sur l'avis du Dr Q___________ du 7 octobre 2010, lequel indique que la recourante suit des séances de physiothérapie intermittentes pour la cheville gauche et surtout pour l'épaule gauche. Dans son pli du 25 janvier 2010, il relevait toutefois que la dernière prescription de physiothérapie concernant les problèmes de l'épaule gauche a eu lieu le 31 mai 2006, consistant en 9 séances sur environ 6 semaines. En sus du fait que le Dr Q___________ n'explique pas la contradiction entre ses déclarations de janvier 2010, selon lesquelles les dernières séances de physiothérapie remontaient à 2006 et, celles d'octobre 2010, selon lesquelles il y avait encore des séances intermittentes, ce médecin n'expose pas en quoi ces séances amélioreraient de manière sensible l'état de santé de la recourante. Il n'est certes pas nié que la recourante puisse encore avoir des douleurs à l'épaule gauche, ou même à la cheville gauche. Il n'en demeure pas moins, à l'instar des</w:t>
      </w:r>
    </w:p>
    <w:p>
      <w:r>
        <w:t>A/2212/2010 - 25/27 - considérations du Dr F__________, qu'il n'est pas démontré que le traitement physiothérapeutique est propre à améliorer l'état de santé de la recourante. Le Dr Q___________ ne le soutient d'ailleurs pas, ni même la recourante dans son écriture, dès lors qu'ils se limitent à indiquer qu'il y a encore un traitement médical en cours pour justifier la prise en charge de celui-ci par l'intimée, ce qui n'est pas suffisant. Par conséquent, c'est à juste titre que l'intimée a mis un terme au traitement médical tant concernant les lésions de la cheville gauche que celles de l'épaule gauche. S'agissant de la date de la fin du droit aux prestations, l'intimée indique, dans sa décision 24 mars 2009, que les traitements médicaux, concernant ces deux atteintes, peuvent être considérés comme terminés à la date de la décision. L'intimée l'a rappelé dans la décision querellée. Selon le Dr F__________, la fin du traitement peut être fixée dans les 12 semaines suivant l'ablation du matériel opératoire, soit à fin juillet 2006. Quant au CEMED, il indiquait que le traitement était fini au moment de l'expertise, soit en mars 2007. Dès lors que l'intimée a retenu, comme fin du traitement pour l'épaule gauche et la cheville gauche, le mois de mars 2009, il n'y a pas lieu de s'en écarter. 13. En dernier lieu, il sied d'examiner si la recourante a droit à une indemnité pour atteinte à l'intégrité, s'agissant des atteintes rhumatologiques, soit à l'épaule gauche et à la cheville gauche. Selon le Dr Q___________, la recourante a droit à une indemnité pour atteinte à l'intégrité de 15 % avec risque d'aggravation ultérieure, pour l'arthrose acromio- claviculaire de l'épaule gauche et sterno-claviculaire, et la gonarthrose gauche. Selon le Dr F__________, la recourante n'a pas droit à une indemnité pour atteinte à l'intégrité pour les atteintes rhumatologiques. Selon le CEMED, il n'y a pas d'atteinte à l'intégrité pour la cheville gauche. Pour l'épaule gauche, le taux d'atteinte est de 7 %. En premier lieu, aucun médecin, ni la recourante, ne considèrent qu'elle a droit à une indemnité pour atteinte à l'intégrité pour l'atteinte à la cheville gauche, de sorte que ce point n'est pas litigieux. En second lieu, les avis divergent pour l'épaule gauche. Selon le médecin-traitant, il existe un risque certain d'arthrose post-traumatique tant acromio-claviculaire que sterno-claviculaire, suites classiques d'une disjonction acromio-claviculaire associée à une subluxation sterno-claviculaire de ce même côté gauche. Selon le Dr F__________, le seul risque éventuel est celui de l'articulation acromio-</w:t>
      </w:r>
    </w:p>
    <w:p>
      <w:r>
        <w:t>A/2212/2010 - 26/27 - claviculaire, indemnisable uniquement dans les cas graves, ce qui ne serait pas le cas de la recourante. Force est de constater que les médecins précités n'étayent pas leur point de vue. En effet, le Dr Q___________ n'indique pas pourquoi la risque d'arthrose post- traumatique tant acromio-claviculaire que sterno-claviculaire est certain. Quant au Dr F__________, il exclut le risque d'arthrose sterno-claviculaire, toutefois sans explication. L'on ignore s'il l'exclut car une telle arthrose n'est médicalement pas possible, ou si elle ne ressort pas de la table 5 de la SUVA (édition 2000) concernant les atteintes à l'intégrité résultant de l'arthrose, ce qui ne serait pas un argument décisif. De plus, le Dr F__________ n'a pas appliqué correctement les tables établies par la SUVA, dès lors que la table 5 (atteinte à l'intégrité résultant d'arthroses) prévoit une indemnisation de 0 % pour une arthrose moyenne, de 5 à 10 % pour une arthrose grave et de 5 % pour une résection et une arthrodèse. S'agissant du CEMED, son avis n'est aucunement motivé. Ainsi, la Cour n'est pas en possession de tous les éléments médicaux clairs permettant de trancher la question de l'indemnité pour atteinte à l'intégrité s'agissant des lésions à l'épaule gauche de la recourante, de sorte qu'une instruction complémentaire devra être mise en œuvre. L'intimée devra en particulier indiquer si une arthrose tant acromio-claviculaire que sterno-claviculaire est possible, de même que de tenir compte de l'importance prévisible de l'atteinte. Dans tous les cas, conformément à l'art. 24 al. 3 OLAA, en cas de concours de plusieurs atteintes à l'intégrité physique, mentale ou psychique, due à un ou plusieurs accidents, l'indemnité est fixée d'après l'ensemble du dommage. Or, il est admis que sur le plan psychiatrique et neuropsychologique, la situation n'est pas encore stabilisée, de sorte qu'en l'état, aucune indemnité pour atteinte à l'intégrité ne saurait être allouée. Par conséquent, l'intimée s'est prononcée prématurément sur l'indemnité pour atteinte à l'intégrité, de sorte que l'examen devra être effectué au moment de l'examen de l'indemnité pour les troubles psychiatriques et neuropsychologiques. 14. Le recours sera donc partiellement admis. 15. La recourante, qui obtient partiellement gain de cause, a droit à une indemnité à titre de participation à ses frais et dépens, que le Tribunal fixe en l'espèce à 1'500 fr. (art. 89H al. 3 LPA; art. 61 let. g LPGA).</w:t>
      </w:r>
    </w:p>
    <w:p>
      <w:r>
        <w:t>A/2212/2010 - 27/27 -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