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ATAS/215/2010 vom 4. März 2010</w:t>
      </w:r>
    </w:p>
    <w:p>
      <w:r>
        <w:t>GE Cour de justice, 2010-03-04, FR</w:t>
      </w:r>
    </w:p>
    <w:p>
      <w:r>
        <w:rPr>
          <w:b/>
        </w:rPr>
        <w:t xml:space="preserve">Quelle: </w:t>
      </w:r>
      <w:r>
        <w:t>https://mcp.opencaselaw.ch/entscheid/ge_gerichte_ATAS_215_2010</w:t>
      </w:r>
    </w:p>
    <w:p>
      <w:r>
        <w:t>FR: GE_GERICHTE ATAS/215/2010 du 4 mars 2010</w:t>
      </w:r>
    </w:p>
    <w:p>
      <w:r>
        <w:t>IT: GE_GERICHTE ATAS/215/2010 del 4 marzo 2010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novembre 1941 (LOJ ; E 2 05), le Tribunal cantonal des assurances sociales connaît en instance unique des contestations prévues à l’art. 56 de la loi fédérale sur la partie</w:t>
      </w:r>
    </w:p>
    <w:p>
      <w:r>
        <w:t>A/3387/2009 - 3/4 - générale du droit des assurances sociales du 6 octobre 2000 (LPGA ; RS 830.1) relatives à la loi fédérale sur l'assurance-accidents du 20 mars 1981 (LAA ; RS 832.20) ; Que sa compétence pour juger du cas d’espèce est ainsi établie ; Que selon l'art. 53 al. 3 LPGA, l'assureur peut reconsidérer une décision sur opposition contre laquelle un recours est formé jusqu'à l'envoi de son préavis ; Qu'en l'occurrence, l'intimé a ainsi proposé l'admission du recours, sans toutefois rendre de décision formelle ; Que la recourante a adhéré à la proposition de l’intimée ; Que l’appelé en cause ne s’y est quant à lui pas opposé ; Qu'il convient dès lors de rendre un jugement en ce sens.</w:t>
      </w:r>
    </w:p>
    <w:p>
      <w:r>
        <w:t>A/3387/2009 - 4/4 -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