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ATAS/214/2025 vom 27. März 2025</w:t>
      </w:r>
    </w:p>
    <w:p>
      <w:r>
        <w:t>GE Cour de justice, 2025-03-27, FR</w:t>
      </w:r>
    </w:p>
    <w:p>
      <w:r>
        <w:rPr>
          <w:b/>
        </w:rPr>
        <w:t xml:space="preserve">Quelle: </w:t>
      </w:r>
      <w:r>
        <w:t>https://mcp.opencaselaw.ch/entscheid/ge_gerichte_ATAS_214_2025</w:t>
      </w:r>
    </w:p>
    <w:p>
      <w:r>
        <w:t>FR: GE_GERICHTE ATAS/214/2025 du 27 mars 2025</w:t>
      </w:r>
    </w:p>
    <w:p>
      <w:r>
        <w:t>IT: GE_GERICHTE ATAS/214/2025 del 27 marzo 2025</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Selon l’art. 53 al. 3 LPGA, jusqu’à l’envoi de son préavis à l’autorité de recours, l’assureur peut reconsidérer une décision ou une décision sur opposition contre laquelle un recours a été formé. La reconsidération peut être prononcée dans le cadre de tous échanges d’écritures ordonnés par la chambre de céans (ATAS/393/2021).</w:t>
      </w:r>
    </w:p>
    <w:p>
      <w:r>
        <w:rPr>
          <w:b/>
        </w:rPr>
        <w:t>E. 3</w:t>
      </w:r>
    </w:p>
    <w:p>
      <w:r>
        <w:t>En l’occurrence, l’intimée, dans sa dernière écriture du 14 mars 2025, en renonçant à toute poursuite à l’encontre de la recourante, a reconsidéré la décision litigieuse, de telle sorte que le présent recours n’a plus d’objet. Il sera en conséquence dit que le recours n’a plus d’objet et la cause sera rayée du rôle. Pour le surplus, la procédure est gratuite.</w:t>
      </w:r>
    </w:p>
    <w:p>
      <w:r>
        <w:t>A/2369/2024 - 4/4 -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