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ATAS/213/2021 vom 15. März 2021</w:t>
      </w:r>
    </w:p>
    <w:p>
      <w:r>
        <w:t>GE Cour de justice, 2021-03-15, FR</w:t>
      </w:r>
    </w:p>
    <w:p>
      <w:r>
        <w:rPr>
          <w:b/>
        </w:rPr>
        <w:t xml:space="preserve">Quelle: </w:t>
      </w:r>
      <w:r>
        <w:t>https://mcp.opencaselaw.ch/entscheid/ge_gerichte_ATAS_213_2021</w:t>
      </w:r>
    </w:p>
    <w:p>
      <w:r>
        <w:t>FR: GE_GERICHTE ATAS/213/2021 du 15 mars 2021</w:t>
      </w:r>
    </w:p>
    <w:p>
      <w:r>
        <w:t>IT: GE_GERICHTE ATAS/213/2021 del 15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Déposé dans les forme et délai prévus par la loi (art. 56ss LPGA), le recours est recevable.</w:t>
      </w:r>
    </w:p>
    <w:p>
      <w:r>
        <w:rPr>
          <w:b/>
        </w:rPr>
        <w:t>E. 3</w:t>
      </w:r>
    </w:p>
    <w:p>
      <w:r>
        <w:t>Le recours porte sur le droit du recourant à des prestations d’invalidité. S'agissant de l'aggravation alléguée par le recourant en février 2021, on précisera que la décision fixe la limite temporelle de l'état de fait déterminant. Selon la jurisprudence, le juge appelé à connaître de la légalité d'une décision rendue par les organes de l'assurance sociale doit apprécier l'état de fait déterminant existant au moment où la décision litigieuse a été rendue (arrêt du Tribunal fédéral 9C_777/2013 du 13 février 2014 consid. 5.2.2.).</w:t>
      </w:r>
    </w:p>
    <w:p>
      <w:r>
        <w:rPr>
          <w:b/>
        </w:rPr>
        <w:t>E. 4</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14a LAI précise que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les mesures socioprofessionnelles (let. a);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w:t>
      </w:r>
    </w:p>
    <w:p>
      <w:r>
        <w:t>A/3817/2019 - 18/26 -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w:t>
      </w:r>
    </w:p>
    <w:p>
      <w:r>
        <w:t>A/3817/2019 - 19/26 -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Dans un arrêt relativement de principe de 2015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w:t>
      </w:r>
    </w:p>
    <w:p>
      <w:r>
        <w:t>A/3817/2019 - 20/26 - Le degré de gravité fonctionnelle comprend l’axe « Atteinte à la santé » englobant l’expression des éléments pertinents pour le diagnostic et des symptômes, le succès du traitement et de la réadaptation ou résistance à ces derniers, les comorbidités, l’axe « Personnalité » (diagnostic de la personnalité, ressources personnelles), l’axe « Contexte social ». La catégorie de la cohérence englobe les indicateurs relatifs à la limitation uniforme du niveau des activités dans tous les domaines comparables de la vie et au poids de la souffrance révélé par l’anamnèse établie en vue du traitement et de la réadaptation (ATF 141 V 281 consid. 4.3).</w:t>
      </w:r>
    </w:p>
    <w:p>
      <w:r>
        <w:rPr>
          <w:b/>
        </w:rPr>
        <w:t>E. 8</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9</w:t>
      </w:r>
    </w:p>
    <w:p>
      <w:r>
        <w:t>La loi prévoit différentes méthodes pour évaluer l'invalidité d'un assuré en fonction du statut de ce dernier.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w:t>
      </w:r>
    </w:p>
    <w:p>
      <w:r>
        <w:t>A/3817/2019 - 21/26 -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 invalidité (RAI - RS 831.201) dispose que par travaux habituels, il faut notamment entendre l'activité usuelle dans le ménage, ainsi que les soins et l’assistance apportés aux proches.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1er avril 2014 consid. 2.2).</w:t>
      </w:r>
    </w:p>
    <w:p>
      <w:r>
        <w:rPr>
          <w:b/>
        </w:rPr>
        <w:t>E. 10</w:t>
      </w:r>
    </w:p>
    <w:p>
      <w:r>
        <w:t>Pour déterminer la méthode applicable à un cas particulier, il faut selon la jurisprudence non pas, malgré la teneur de l'art. 8 al. 3 LPGA, chercher à savoir dans quelle mesure l'exercice d'une activité lucrative aurait été exigible de la part de</w:t>
      </w:r>
    </w:p>
    <w:p>
      <w:r>
        <w:t>A/3817/2019 - 22/26 -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Cette évaluation tiendra également compte de la volonté hypothétique de l'assuré, qui comme fait interne ne peut être l'objet d'une administration directe de la preuve et doit être déduite d'indices extérieurs établis au degré de la vraisemblance prépondérante tel que requis en droit des assurances sociales (arrêt du Tribunal fédéral 9C_279/2018 du 28 juin 2018 consid. 2.2).</w:t>
      </w:r>
    </w:p>
    <w:p>
      <w:r>
        <w:rPr>
          <w:b/>
        </w:rPr>
        <w:t>E. 11</w:t>
      </w:r>
    </w:p>
    <w:p>
      <w:r>
        <w:t>En l’espèce, il convient tout d’abord de se déterminer sur le statut du recourant. L’intimé a opéré une modification de statut depuis sa première décision du</w:t>
      </w:r>
    </w:p>
    <w:p>
      <w:r>
        <w:rPr>
          <w:b/>
        </w:rPr>
        <w:t>E. 16</w:t>
      </w:r>
    </w:p>
    <w:p>
      <w:r>
        <w:t>novembre 2015, affirmant que l’absence d’activité lucrative du recourant démontrerait que celui-ci est homme au foyer, puisqu’il ne travaille pas alors qu'il serait capable de le faire selon les conclusions des experts mis en œuvre en 2015. Ce raisonnement ne peut pas être suivi. En premier lieu, même si les conclusions de l’expertise des Drs E______, G______ et F______ quant à la capacité de travail médico-théorique du recourant devaient se voir reconnaître valeur probante – question sur laquelle la chambre de céans reviendra ci-après –, celui-ci se considérait néanmoins totalement incapable de travailler à l’époque, comme il l’a indiqué à ces experts, et comme le démontre le recours interjeté à l’encontre de la décision de l’intimé. Son médecin traitant, le Dr B______, a du reste attesté une incapacité de travail totale remontant à 2009. Dans ces conditions, on ne peut lui opposer de ne pas avoir cherché un emploi, ni tirer des conclusions de son inactivité quant au statut qu’il aurait adopté en bonne santé. On soulignera que le recourant est resté constant dans ses déclarations sur son parcours professionnel. Il a en effet décrit aux experts qu’il avait cessé son travail pour des raisons de santé. Il a également indiqué à l’enquêtrice chargée de recenser</w:t>
      </w:r>
    </w:p>
    <w:p>
      <w:r>
        <w:t>A/3817/2019 - 23/26 - ses empêchements dans le ménage qu’il aurait souhaité continuer son activité de brocanteur sans atteinte à la santé. La mention dans ce rapport d’enquête que sans atteinte à la santé, il aurait poursuivi son « activité sans revenu » est sans portée sur la qualification d’activité lucrative qui aurait été poursuivie si le recourant avait été en bonne santé. On peut en effet très sérieusement douter que ce dernier ait déclaré à l’enquêtrice qu’il ne tirait aucun revenu de son ancienne activité, puisqu’il l’a toujours désignée comme une activité professionnelle et qu’il a du reste transmis à l’intimé des décomptes des bénéfices tirés des ventes en 2012. De plus, il ne paraît guère vraisemblable que sans atteinte à la santé, l’assuré aurait poursuivi sa collaboration avec les membres de sa famille sans plus revendiquer sa part des recettes. Les autres éléments du dossier, notamment la profession indiquée par les médecins traitants – soit forain ou brocanteur – concourent également à démontrer que cette activité ne relevait pas d’un loisir, mais bien d’un travail dans le cadre d’une association familiale. Il est vrai que le recourant n’a jamais déclaré de revenus soumis à cotisation à l’AVS. Cela ne suffit toutefois pas à retenir un statut ménager, et l’intimé n’en avait d’ailleurs pas tiré de conclusion lors de la définition initiale du statut d’indépendant. Le Tribunal fédéral a certes souligné qu’il n’était pas acceptable de ne pas déclarer des revenus aux assurances sociales et de les faire valoir par la suite (arrêt du Tribunal fédéral 8C_930/2012 du 25 janvier 2013 consid. 4.1). Il se référait toutefois non pas à la détermination du statut, mais au revenu sans invalidité, dont l’assuré faisait valoir dans le cas d’espèce qu’il était en réalité supérieur à celui déclaré à l’AVS et pris en compte par l’assurance- invalidité. En outre, au vu des déclarations sur l’organisation familiale convenue avec son épouse au début de leur mariage, dont rien ne permet de mettre en cause l’authenticité, et que corrobore l’absence d’activité lucrative de son épouse, et des circonstances économiques défavorables – la famille du recourant dépendant de l’assistance de l’Hospice général –, on doit admettre au degré de la vraisemblance prépondérante que ce dernier aurait travaillé à plein temps sans atteinte à la santé. La décision de l’intimé repose ainsi sur des prémisses erronées, en tant qu’elle se fonde sur un statut ménager. Il y a ainsi lieu de reconnaître au recourant un statut d’actif à 100 %, de sorte qu’on peut s’épargner l’analyse de la valeur probante de l’enquête ménagère réalisée. 12. S’agissant de la capacité de travail et de gain du recourant, le Dr I______ a déclaré se rallier à l’appréciation du Dr L______, tout en retenant une capacité de travail de 50 % dans une activité adaptée dès le 1er mars 2019, alors que le neurologue l’envisageait dès le 1er mai 2019 seulement. Le médecin du SMR a exclu une aggravation des troubles psychiques, de sorte que les conclusions du Dr G______ restaient valables. Au sujet de l’expertise psychiatrique réalisée en 2015, on doit tout d’abord relever qu’elle ne permet pas de se prononcer sur le caractère invalidant des troubles psychiques du recourant, dès lors qu’elle ne se prononce pas sur les indicateurs</w:t>
      </w:r>
    </w:p>
    <w:p>
      <w:r>
        <w:t>A/3817/2019 - 24/26 - développés par la jurisprudence rappelée plus haut. Selon le Tribunal fédéral, il n’y a certes pas lieu de nier d'emblée toute valeur probante au rapport d'expertise qui ne contiendrait pas une analyse selon ces nouveaux indicateurs. Il convient plutôt d'examiner dans chaque cas si les expertises administratives et/ou judiciaires recueillies - le cas échéant en les mettant en relation avec d'autres rapports médicaux - permettent ou non une appréciation concluante du cas à l'aune des indicateurs déterminants, et il revient en outre aux organes chargés de l'application du droit de procéder à l'appréciation définitive de la capacité de travail de l'intéressé (arrêt du Tribunal fédéral 9C_808/2019 du 18 août 2020 consid. 5.2 et les références). Cela étant, l’expertise du 17 juillet 2015 ne contient pas les éléments nécessaires à une telle analyse dans le cas d’espèce. Du reste, même s’il fallait analyser ce rapport à l’aune des critères applicables à l’époque de sa rédaction, on ne pourrait lui reconnaître valeur probante. Au plan formel, le statut psychique extrêmement bref, auquel sont intégrées les plaintes du recourant, ne permet pas de distinguer les éléments cliniques concrets sur lesquels reposent les diagnostics de l’expert psychiatre. Ce dernier n’a du reste guère motivé ses conclusions quant à l’absence d’atteinte invalidante, qui contrastent avec un tableau qui paraît assez sombre au vu des éléments décrits et de l’anxiété importante signalée par les autres experts. En outre, on comprend mal comment le Dr G______ peut exclure une incapacité de travail tout en l’admettant de manière transitoire pour le passé, alors qu’il ne décrit pas d’évolution claire de l’état psychique du recourant. Cette expertise est également contradictoire, dans la mesure où l’expert psychiatre a évoqué l’opportunité d’un stage de réintégration professionnelle, tout en concluant plus loin que des mesures de réadaptation n’étaient pas indiquées. Par surabondance, on ne peut exclure d’aggravation de l’état de santé du recourant au plan psychique, notamment au vu de l’impact de l’agression signalé par les Drs D______ et B______. Enfin, tant Mme K______ que le Dr L______ ont suggéré que les atteintes psychiques étaient invalidantes, le neurologue ayant du reste émis ses conclusions sous réserve des répercussions des atteintes psychiques. Partant, cette expertise ne peut se voir reconnaître valeur probante. Au sujet des conclusions du neurologue, auxquelles s’est rallié le SMR, il convient de noter qu’elles ne sont guère motivées s’agissant de l’évolution de la capacité de travail au plan neurologique avant le 1er mai 2019, et qu’on comprend mal le choix de cette date pour fixer le début de la capacité de travail dans une activité adaptée. De plus, compte tenu de la surveillance mentionnée selon le Dr L______, il y aurait lieu de lui demander de préciser en quoi elle consiste et si elle est compatible avec un emploi dans l’économie libre. 13. Compte tenu de ce qui précède, le dossier ne permet pas de trancher le droit aux prestations en l'état. Il y a en effet lieu d’instruire l’incidence des troubles psychiques du recourant et de faire préciser certains points au neurologue traitant.</w:t>
      </w:r>
    </w:p>
    <w:p>
      <w:r>
        <w:t>A/3817/2019 - 25/26 - Lorsque le juge des assurances sociales constate qu'une instruction est nécessaire, il doit en principe mettre lui-même en œuvre une expertise (ATF 137 V 210 consid. 4.4.1.3 et 4.4.1.4). Un renvoi à l'administration reste possible, notamment quand elle n’a pas du tout instruit une question, lorsqu'il s'agit de préciser un point de l'expertise ordonnée par l'administration ou de demander un complément à l'expert (ATF 137 V 210 consid. 4.4.1.3 et 4.4.1.4). Tel est le cas en l’espèce, l’intimé n’ayant pas investigué les troubles psychiques. Il y a ainsi lieu de lui renvoyer la cause pour mise en œuvre d’une expertise psychiatrique, dans le respect des exigences jurisprudentielles en matière de droit d'être entendu (ATF 137 V 210 consid. 3.2.4.6 et 3.2.4.9). Il appartiendra également à l’intimé de requérir du Dr L______ qu’il se prononce sur l’évolution de la capacité de travail de gain du recourant avant le 1er mars 2019, et qu’il précise l’incidence de la surveillance nécessaire sur la possibilité du recourant de reprendre un travail, et d’organiser un consilium entre ce spécialiste et l’expert psychiatre dans la mesure nécessaire. Une fois les conclusions de l’expert et du Dr L______ connues, l’intimé devra procéder à un nouveau calcul du degré d’invalidité du recourant en tenant compte d’un statut d’actif à 100 %. Dans ce cadre, si une capacité de gain résiduelle est mise en évidence, il devra également examiner si elle est exploitable de manière réaliste et se prononcer sur le droit à des mesures professionnelles, dès lors que les limitations fonctionnelles importantes du recourant, tant au plan neurologique que neuropsychologique, paraissent restreindre fortement le champ des activités possibles. Bien que l'aggravation signalée par le recourant en 2021 n'ait pas à être examinée dans le cadre de la présente procédure, il y aura également lieu pour l'intimé d'analyser son éventuelle incidence sur le droit aux prestations. Au vu de l’issue du litige, la chambre de céans ne donnera pas suite aux mesures probatoires requises par le recourant, par appréciation anticipée des preuves (ATF 140 I 285 consid. 6.3.1). 14. Le recours est partiellement admis. Le recourant a droit à des dépens, qui seront fixés à CHF 2'000.- (art 61 let. g LPGA). La procédure en matière d’assurance-invalidité n’étant pas gratuite (art. 69 al. 1bis LAI), l’intimé supporte l’émolument de procédure de CHF 500.-.</w:t>
      </w:r>
    </w:p>
    <w:p>
      <w:r>
        <w:t>A/3817/2019 - 26/26 -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