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ATAS/212/2008 vom 21. Februar 2008</w:t>
      </w:r>
    </w:p>
    <w:p>
      <w:r>
        <w:t>GE Cour de justice, 2008-02-21, FR</w:t>
      </w:r>
    </w:p>
    <w:p>
      <w:r>
        <w:rPr>
          <w:b/>
        </w:rPr>
        <w:t xml:space="preserve">Quelle: </w:t>
      </w:r>
      <w:r>
        <w:t>https://mcp.opencaselaw.ch/entscheid/ge_gerichte_ATAS_212_2008</w:t>
      </w:r>
    </w:p>
    <w:p>
      <w:r>
        <w:t>FR: GE_GERICHTE ATAS/212/2008 du 21 février 2008</w:t>
      </w:r>
    </w:p>
    <w:p>
      <w:r>
        <w:t>IT: GE_GERICHTE ATAS/212/2008 del 21 febbraio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suppression de la rente d'invalidité de la recourante a été prononcée le 12 juillet 2007. La LPGA s’applique donc au cas d’espèce.</w:t>
      </w:r>
    </w:p>
    <w:p>
      <w:r>
        <w:t>A/3441/2007 - 13/18 -</w:t>
      </w:r>
    </w:p>
    <w:p>
      <w:r>
        <w:rPr>
          <w:b/>
        </w:rPr>
        <w:t>E. 3</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l'assurée un projet de décision en date du 30 avril 2007, qui a été confirmé par la décision du 18 juillet 2007, contre laquelle l'assurée a interjeté directement recours devant le Tribunal de céans le 12 septembre 2007. c) Interjeté dans les forme et délai prévus par la loi, devant l'autorité compétente, le recours est en conséquence recevable (art. 56 ss LPGA).</w:t>
      </w:r>
    </w:p>
    <w:p>
      <w:r>
        <w:rPr>
          <w:b/>
        </w:rPr>
        <w:t>E. 4</w:t>
      </w:r>
    </w:p>
    <w:p>
      <w:r>
        <w:t>L'objet du litige porte sur le bien-fondé de la suppression du droit à la rente d'invalidité de la recourante.</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w:t>
      </w:r>
    </w:p>
    <w:p>
      <w:r>
        <w:t>A/3441/2007 - 14/18 - 70 %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7</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w:t>
      </w:r>
    </w:p>
    <w:p>
      <w:r>
        <w:t>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A/3441/2007 - 15/18 -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w:t>
      </w:r>
    </w:p>
    <w:p>
      <w:r>
        <w:t>A/3441/2007 - 16/18 -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En l'espèce, le SMR a conclu que la recourante avait une capacité de travail de 80 % depuis juillet 2005. Or, l'estimation de la capacité de travail de la recourante a été évaluée au maximum à 50 % par les Drs U_______ (avis du 21 mai 2007), O________ (avis du 22 mai 2007) et Q________ (avis des 6 et 30 août 2007). Par ailleurs, le Dr T________ a contesté la capacité de travail de 80 % fixée par le SMR en estimant qu'elle ne tenait pas compte de l'état de santé global de la recourante (avis du 18 mai 2007) et le rapport d'ergothérapie du 27 août 2007 mentionne qu'une reprise professionnelle est possible seulement à temps partiel et à certaines conditions.</w:t>
      </w:r>
    </w:p>
    <w:p>
      <w:r>
        <w:rPr>
          <w:b/>
        </w:rPr>
        <w:t>E. 10</w:t>
      </w:r>
    </w:p>
    <w:p>
      <w:r>
        <w:t>Au vu de ce qui précède, il convient d'ordonner une expertise médicale en vue de fixer la capacité de travail de la recourante, laquelle sera confiée à la Dresse LL_______, spécialiste FMH en rhumatologie et en médecine physique et réadaptation, rue du 31-Décembre 70, 1207 Genève.</w:t>
      </w:r>
    </w:p>
    <w:p>
      <w:r>
        <w:t>A/3441/2007 - 17/18 -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