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ATAS/211/2026 vom 12. März 2026</w:t>
      </w:r>
    </w:p>
    <w:p>
      <w:r>
        <w:t>GE Cour de justice, 2026-03-12, FR</w:t>
      </w:r>
    </w:p>
    <w:p>
      <w:r>
        <w:rPr>
          <w:b/>
        </w:rPr>
        <w:t xml:space="preserve">Quelle: </w:t>
      </w:r>
      <w:r>
        <w:t>https://mcp.opencaselaw.ch/entscheid/ge_gerichte_ATAS_211_2026</w:t>
      </w:r>
    </w:p>
    <w:p>
      <w:r>
        <w:t>FR: GE_GERICHTE ATAS/211/2026 du 12 mars 2026</w:t>
      </w:r>
    </w:p>
    <w:p>
      <w:r>
        <w:t>IT: GE_GERICHTE ATAS/211/2026 del 12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des féries du 15 juillet au 15 août, le recours est recevable (art. 38 al. 4 let. b et 56ss LPGA ; 89Bss de la loi sur la procédure administrative du 12 septembre 1985 [LPA - E 5 10]).</w:t>
      </w:r>
    </w:p>
    <w:p>
      <w:r>
        <w:rPr>
          <w:b/>
        </w:rPr>
        <w:t>E. 2</w:t>
      </w:r>
    </w:p>
    <w:p>
      <w:r>
        <w:t>Le litige porte sur le refus de l’OAI d’étendre ses prestations au-delà du 29 février 2024.</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 litige porte, notamment, sur le paiement au-delà du 29 février 2025, de la rente d’invalidité dont il n’est pas contesté que le droit est né postérieurement au 31 décembre 2021, de sorte que les dispositions légales applicables seront citées dans leur nouvelle teneur.</w:t>
      </w:r>
    </w:p>
    <w:p>
      <w:r>
        <w:rPr>
          <w:b/>
        </w:rPr>
        <w:t>E. 3.2</w:t>
      </w:r>
    </w:p>
    <w:p>
      <w:r>
        <w:t>; 139 V 176 consid. 5.3 et les références). Aussi n’existe-t-il pas, en droit des assurances sociales, un principe selon lequel l’administration ou le juge devrait statuer, dans le doute, en faveur de l’assuré (ATF 135 V 39 consid. 6.1 et la référence).</w:t>
      </w:r>
    </w:p>
    <w:p>
      <w:r>
        <w:rPr>
          <w:b/>
        </w:rPr>
        <w:t>E. 3.3</w:t>
      </w:r>
    </w:p>
    <w:p>
      <w:r>
        <w:t>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3.5</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w:t>
      </w:r>
    </w:p>
    <w:p>
      <w:r>
        <w:t>A/3176/2025 - 9/23 -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rPr>
          <w:b/>
        </w:rPr>
        <w:t>E. 3.6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A/3176/2025 - 10/23 -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3.7</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3.8</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3.9</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3.10</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A/3176/2025 - 11/23 -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Le médecin du SMR n'a pas l'obligation de procéder lui-même à un examen médical sur la personne de l'assuré (cf. art. 49 al. 2 RAI) mais peut, selon les circonstances, fonder son avis en évaluant les éléments médicaux au dossier. Cette appréciation en l'absence d'examen n'est pas dénuée d'emblée de toute valeur probante et est soumise aux mêmes exigences en matière de preuve que les autres rapports médicaux (ATF 136 V 376 consid. 4.1 ; arrêt du Tribunal fédéral 8C_160/2025 du 27 octobre 2025 consid. 5.2 et la référence).</w:t>
      </w:r>
    </w:p>
    <w:p>
      <w:r>
        <w:rPr>
          <w:b/>
        </w:rPr>
        <w:t>E. 3.11</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w:t>
      </w:r>
    </w:p>
    <w:p>
      <w:r>
        <w:t>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(cf. art. 10 de la loi fédérale sur l'assurance-accidents du 20 mars 1981 ;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w:t>
      </w:r>
    </w:p>
    <w:p>
      <w:r>
        <w:t>A/3176/2025 - 12/23 - capacité de gain des assurés bien avant (arrêt du Tribunal fédéral 8C_239/2020 du 19 avril 2021 consid. 8.2).</w:t>
      </w:r>
    </w:p>
    <w:p>
      <w:r>
        <w:rPr>
          <w:b/>
        </w:rPr>
        <w:t>E. 5.1</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5.2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 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w:t>
      </w:r>
    </w:p>
    <w:p>
      <w:r>
        <w:t>A/3176/2025 - 13/23 -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5.3</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w:t>
      </w:r>
    </w:p>
    <w:p>
      <w:r>
        <w:rPr>
          <w:b/>
        </w:rPr>
        <w:t>E. 5.4</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Afin de comparer le salaire effectivement réalisé à celui fondé sur les ESS, ce dernier doit être adapté à l’horaire de travail usuel de la branche, et indexé à l’année déterminante en tenant compte des valeurs spécifiques au sexe (ATF 129 V 408).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w:t>
      </w:r>
    </w:p>
    <w:p>
      <w:r>
        <w:t>A/3176/2025 - 14/23 -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(arrêts du Tribunal fédéral I 168/05 du 24 avril 2006 consid. 3.3 ; B 80/01 du 17 octobre 2003 consid. 5.2.2) ou lorsque l’assuré a quitté son emploi pour d’autres motifs que son état de santé (cf. arrêt du Tribunal fédéral 8C_537/2023 du 17 avril 2024 consid. 4.2.3 et 5.1 et les références), ou dans les cas où le temps écoulé depuis l'obtention du dernier salaire et la naissance éventuelle du droit à la rente est important (par ex. huit ans : arrêt du Tribunal fédéral 9C_504/2023 du 28 février 2024 consid. 5.1.2 et la référence).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w:t>
      </w:r>
    </w:p>
    <w:p>
      <w:r>
        <w:rPr>
          <w:b/>
        </w:rPr>
        <w:t>E. 5.5</w:t>
      </w:r>
    </w:p>
    <w:p>
      <w:r>
        <w:t>Le revenu d'invalide doit être évalué avant tout en fonction de la situation professionnelle concrète de l'intéressé (ATF 135 V 297 consid. 5.2). On considère que l’assuré exploite autant que possible sa capacité fonctionnelle résiduelle en exerçant une activité lucrative lorsque le revenu qui en découle correspond approximativement à la valeur statistique médiane (OFAS, CIRAI, ch. 3408). Si l’assuré ne réalise pas de revenu déterminant, le revenu avec invalidité est déterminé en fonction des valeurs statistiques visées à l’art. 25 al. 3 RAI (art. 26bis al. 2 RAI). Il y a lieu de tenir compte de la formation professionnelle ou de la situation et de l’expérience professionnelles antérieures, pour autant que l’on puisse encore raisonnablement exiger de l’assuré qu’il exerce les activités en question. Si l’activité précédente n’est plus raisonnablement exigible, il convient de déterminer le salaire statistique d’une activité qui l’est encore (OFAS, CIRAI, ch. 3412).</w:t>
      </w:r>
    </w:p>
    <w:p>
      <w:r>
        <w:t>A/3176/2025 - 15/23 -</w:t>
      </w:r>
    </w:p>
    <w:p>
      <w:r>
        <w:rPr>
          <w:b/>
        </w:rPr>
        <w:t>E. 5.6</w:t>
      </w:r>
    </w:p>
    <w:p>
      <w:r>
        <w:t>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 9C_242/2012 du 13 août 2012 consid. 3). Selon sa nouvelle teneur, l’art. 26bis al. 3 RAI prévoit désormais qu’une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w:t>
      </w:r>
    </w:p>
    <w:p>
      <w:r>
        <w:t>A/3176/2025 - 16/23 -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9.1</w:t>
      </w:r>
    </w:p>
    <w:p>
      <w:r>
        <w:t>En l’espèce, dans un premier grief, le recourant reproche à l’OAI d’avoir considéré, à tort, qu’il avait récupéré une capacité de travail de 100% dans une activité adaptée, à partir du 2 novembre 2023. Pour aboutir à cette conclusion, le SMR de l’OAI s’est fondé sur les rapports médicaux, comme cela ressort de son rapport du 13 août 2024. Dans son rapport médical du 29 novembre 2023, le Dr D______ ne mentionne pas de limitations fonctionnelles et constate que cinq mois après l’opération « le patient présente une évolution plutôt stagnante et la persistance de douleurs touchant la région du sus-épineux et du trapèze à droite, pour laquelle il prend de l’Ibuprofène 400mg 2 fois par jour en réserve ». Le médecin traitant précise encore que l’examen clinique de l’épaule montre une limitation de la mobilité articulaire avec une élévation active à 110°, stable depuis le mois d’octobre, marqué par des douleurs lors de la descente vers 80°, une abduction à 100° (stable), une rotation externe à 65° (gain de 15° comparé au mois d’octobre) et une rotation interne pouces/M4 (gain de 1 segment). Le rapport de consultation de l’épaule et du coude du Dr E______, daté du 2 mai 2024, relève qu’à l’examen clinique du jour, il y a un franc déficit de la coiffe antérieure. L’élévation antérieure active est à 160°. La rotation externe est à 60° et la rotation interne est à la fesse. Aucune autre limitation ou trouble n’est mentionné. Par ailleurs, le médecin précise que le rapport de radiologie du 18 avril 2024 confirme une guérison du subscapulaire. Le même médecin, dans son rapport médical du 21 juin 2024, mentionne une persistance des douleurs en abduction et élévation antérieure, avec faiblesse musculaire, mais note une élévation antérieure active à 170°, une rotation externe à 70° et la rotation interne à la fesse.</w:t>
      </w:r>
    </w:p>
    <w:p>
      <w:r>
        <w:t>A/3176/2025 - 17/23 - La comparaison entre la situation en novembre 2023 et en juin 2024 montre que l’élévation antérieure active s’est améliorée, passant de 110° à 170° de même que la rotation externe qui est passée de 60° à 70°. La lecture du rapport médical du Dr D______ du 29 novembre 2023 permet d’admettre une relative stabilité de la situation et en tous les cas, la possibilité d’exercer une activité en respectant les limitations fonctionnelles fixées par le SMR, soit l’interdiction du port de charges de plus de 2 kg au-dessus du plan des épaules en force/répété/prolongé. S’il est vrai que le médecin traitant mentionne dans son rapport que la reprise du travail n’est pas d’actualité, il n’est pas fait mention d’une activité adaptée. En tous les cas, on rappellera que le juge peut et doit tenir compte du fait que, selon l'expérience, le médecin traitant est généralement enclin, en cas de doute, à prendre parti pour son patient en raison de la relation de confiance qui l'unit à ce dernier (ATF 125 V 351 consid. 3b/cc). Partant, les constatations objectives mentionnées dans le rapport médical sont certes incompatibles avec l’activité habituelle de plâtrier, mais ne sont pas incompatibles avec une activité adaptée. Les limitations fonctionnelles fixées par le SMR sont compatibles avec la situation médicale stabilisée qui ressort du rapport médical du 23 novembre 2023, étant précisé que, par la suite, l’élévation antérieure active s’est encore améliorée. On relèvera que les limitations fonctionnelles fixées par le SMR sont très proches de celles retenues par le médecin-conseil de la SUVA. Le docteur H______, spécialiste en chirurgie orthopédique et traumatologie, suite à son examen médical du 26 septembre 2024, a également retenu une capacité de travail de 100% sans perte de rendement et a mentionné la possibilité de porter des charges de 3 kg, voire parfois 5 kg, et a limité tout travail au-dessus du plan des épaules. Les appréciations du SMR ne sont pas contredites par l’attestation du Dr F______ du 2 avril 2025 qui se contente de confirmer avoir discuté avec le recourant des deux options qui s’offrent à lui, soit un traitement conservateur avec physiothérapie et prise de médicaments antidouleurs ou une nouvelle révision chirurgicale, le médecin précisant toutefois qu’il n’a jamais effectué de révision après une révision. En ce qui concerne le certificat médical du médecin traitant G______ du 27 novembre 2025, la faiblesse décrite par le patient au niveau du subscapulaire a déjà été prise en compte par le SMR, de même que la présence de douleurs. S’agissant des troubles psychiatriques qui auraient été relevés par le psychiatre du recourant, l’absence de rapport médical circonstancié, notamment de diagnostic, de description des troubles et de leur sévérité ne permet pas de prendre en compte lesdits troubles dans l’évaluation de la capacité de travail. Le recourant relève encore que son cas ne serait pas encore stabilisé ; on rappellera que les offices AI n'ont pas à attendre l'issue des mesures thérapeutiques, ni la stabilisation du cas, mais sont tenus d'évaluer la capacité de</w:t>
      </w:r>
    </w:p>
    <w:p>
      <w:r>
        <w:t>A/3176/2025 - 18/23 - gain des assurés bien avant (arrêt du Tribunal fédéral 8C_239/2020 du 19 avril 2021 consid. 8.2). Partant, l’appréciation de l’OAI consistant à considérer qu’il existe une capacité de travail de 100% du recourant, adaptée aux limitations fonctionnelles, à partir du mois de novembre 2023, ne prête pas le flanc à la critique. Le recourant reproche encore à l’intimé de n’avoir pas précisé quel type d’activité était compatible avec ses limitations fonctionnelles. On relèvera que lesdites limitations sont relativement limitées dès lors qu’elles ne concernent que les mouvements du bras droit effectués, avec une charge, au-dessus du plan des omoplates. Dès lors que le recourant est droitier, il est évident qu’une activité de peintre ou de plâtrier n’est pas compatible avec de telles limitations. Néanmoins, on ne saurait admettre que des activités compatibles avec les limitations fonctionnelles ne peuvent être exercées que sous une forme tellement restreinte qu’elles n’existent quasiment pas sur le marché général du travail ou que leur exercice impliquerait de l’employeur des concessions irréalistes et que, de ce fait, il semble exclu de trouver un emploi correspondant (cf. notamment arrêt du Tribunal fédéral 9C_286/2015 du 12 janvier 2016). En effet, les limitations fonctionnelles du recourant ne l’empêchent pas d’exploiter une capacité de travail résiduelle sur le plan économique et de réaliser un salaire suffisant pour exclure une rente. À cet égard, l’appréciation de l’intimé selon laquelle il convient d’admettre que de nombreux emplois sont compatibles avec les limitations fonctionnelles du recourant, lesquelles n’entravent pas, ni ne rendent difficile le choix d’une profession adaptée, peut être confirmée. Dans ses ultimes observations du 16 février 2026, le recourant reproche à l’OAI de n’avoir pas tenu compte de l’ensemble de son contexte personnel et professionnel qui serait déterminant pour apprécier concrètement l’exigibilité d’une telle activité. S’agissant du contexte personnel, il sied de rappeler qu’en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Sur le plan professionnel, en ce qui concerne l’existence d’une activité adaptée aux limitations fonctionnelles, l’intimé a déjà exposé dans ses écritures du</w:t>
      </w:r>
    </w:p>
    <w:p>
      <w:r>
        <w:rPr>
          <w:b/>
        </w:rPr>
        <w:t>E. 9.2</w:t>
      </w:r>
    </w:p>
    <w:p>
      <w:r>
        <w:t>Dans un deuxième grief soulevé au stade de la réplique, le recourant critique le montant du revenu sans invalidité retenu par l’OAI, ainsi que le taux d’abattement qu’il considère comme arbitraire. 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Le recourant allègue la prise en compte d’un revenu annuel de CHF 80'485.49 en se fondant sur une prétendue durée minimale de travail hebdomadaire de 42 heures. Selon la déclaration de sinistre LAA du 16 mai 2022 remplie par son employeur L&amp;L constructions Sàrl, le recourant a été engagé le 30 août 2021 et travaille à 100%, à un tarif horaire de CHF 31.-, à raison de 40 heures par semaine.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Le recourant a la charge de la preuve en ce qui concerne la durée hebdomadaire ainsi que le montant de son revenu annuel allégués ; or, dans le cadre de la présente procédure, le recourant n’a communiqué aucune pièce comptable qui puisse soutenir ses allégations. Le fait que son employeur soit désormais en faillite n’est pas un élément pouvant justifier ce manquement, dès lors que le recourant devrait être en possession de certificats de salaire lui permettant de documenter ses prétentions, ce qu’il n’a pas produit. Pour déterminer le montant du revenu sans invalidité, l’OAI s’est fondé sur les chiffres qui ont été communiqués par l’employeur du recourant à la SUVA, dans la procédure parallèle (A/2990/2025) et qui correspondent au dernier revenu réalisé avant la survenance de l’accident. Étant précisé que les indemnités journalières servies par la SUVA ont été calculées et fixées sur la base des chiffres transmis par l’employeur et que la quotité desdites indemnités n’a pas été remise en question par le recourant.</w:t>
      </w:r>
    </w:p>
    <w:p>
      <w:r>
        <w:t>A/3176/2025 - 20/23 - En l’absence de preuve du contraire, la décision de l’intimé de se fonder sur le revenu sans invalidité communiqué par l’ancien employeur du recourant et repris par la SUVA est pertinente et le grief du recourant doit donc être écarté. En ce qui concerne le taux d’abattement de 10%, qualifié d’arbitraire par le recourant, il se fonde sur une disposition réglementaire, à savoir l’art. 26bis al. 3 RAI qui prévoit une déduction de 10% opérée sur la valeur statistique visée à l’al. 2 de la même disposition, lorsque le revenu avec invalidité est déterminé en fonction des valeurs statistiques, comme c’est le cas en l’espèce. À cet égard, la chambre de céans relève qu’une réduction au titre du handicap dépend de la nature des limitations fonctionnelles présentées et n'entre en considération que si, sur un marché du travail équilibré, il n'y a plus un éventail suffisamment large d'activités accessibles à l'assuré (cf. arrêts du Tribunal fédéral 8C_280/2022 du 1er mars 2023 consid. 7.2.3 ; 8C_608/2021 du 26 avril 2022 consid. 4.3.1 ; 8C_659/2021 du 17 février 2022 consid. 4.3.1 ; 8C_118/2021 du 21 décembre 2021 consid. 6.3.1). En l'occurrence, les limitations fonctionnelles du recourant ne paraissent pas être de nature à empêcher le recourant d’exercer l’une des activités physiques ou manuelles simples que recouvrent les secteurs de la production et des services selon l'ESS 2020 (tableau TA1_skill_level et niveau de compétences 1). Un nombre suffisant d'entre elles correspondent à des travaux légers respectant les limitations fonctionnelles du recourant, de sorte que l’intimé était fondé à retenir un taux d’abattement de 10% sur le salaire statistique. Il sera relevé que l’affirmation du recourant selon laquelle il aurait perdu une grande partie de la force de sa main droite et presque totalement l’usage de son bras droit ne ressort d’aucun document médical. Par ailleurs, il n’y a pas lieu de tenir compte de circonstances étrangères à l'invalidité. En effet, l’absence de formation suisse du recourant n’est pas déterminante, dans la mesure où l’intimé s’est fondé sur un niveau de compétences 1 correspondant à des tâches physiques ou manuelles simples et ne nécessitant aucune formation ni expérience professionnelle spécifique (arrêt du Tribunal fédéral 8C_90/2024 du 5 août 2024 consid. 5.4). Il en va de même s’agissant de la nationalité étrangère du recourant et de sa maîtrise limitée du français (arrêt du Tribunal fédéral 8C_682/2023 du 24 avril 2024 consid. 4.3.2 et les références). C’est donc à bon droit que l’intimé a retenu un taux d’abattement de 10% sur le revenu d’invalide du recourant ; à défaut d’élément étayant son caractère prétendument arbitraire, le grief du recourant doit également être écarté.</w:t>
      </w:r>
    </w:p>
    <w:p>
      <w:r>
        <w:rPr>
          <w:b/>
        </w:rPr>
        <w:t>E. 9.3</w:t>
      </w:r>
    </w:p>
    <w:p>
      <w:r>
        <w:t>Dans un ultime grief, le recourant reproche à l’intimé de n’avoir pas ordonné de mesures de réadaptation.</w:t>
      </w:r>
    </w:p>
    <w:p>
      <w:r>
        <w:t>A/3176/2025 - 21/23 - On rappellera qu'il n'existe pas un droit inconditionnel à obtenir une mesure professionnelle (voir par ex. l'arrêt du Tribunal fédéral 9C_385/2009 du</w:t>
      </w:r>
    </w:p>
    <w:p>
      <w:r>
        <w:rPr>
          <w:b/>
        </w:rPr>
        <w:t>E. 13</w:t>
      </w:r>
    </w:p>
    <w:p>
      <w:r>
        <w:t>octobre 2009). Il faut également relever que si une perte de gain de 20% environ ouvre en principe droit à une mesure de reclassement dans une nouvelle profession (ATF 139 V 399 consid. 5.3 ; arrêt du Tribunal fédéral 9C_500/2020 du 1er mars 2021 consid. 2 et les références), la question reste ouverte s'agissant des autres mesures d'ordre professionnel prévues par la loi (cf. arrêt du Tribunal fédéral 9C_464/2009 du 31 mai 2010).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l’occurrence, le taux d’invalidité retenu est bien inférieur à 20% et le recourant ne se trouve pas en début de carrière professionnelle et bénéficie déjà d’une formation technique sur machines (selon diplôme du 9 octobre 1999), raison pour laquelle il n’existe pas de motif pouvant justifier l’octroi de mesures de réadaptation. De surcroît, l’évaluation du revenu avec invalidité a été effectuée en fonction de postes de travail qui ne requièrent pas de qualifications professionnelles particulières et force est d'admettre que d’une façon générale, la plupart de ces emplois sont, abstraction faite des limitations fonctionnelles éprouvées par le recourant, conformes aux aptitudes de celui-ci. Par ailleurs, au regard du large éventail d'activités simples que recouvrent les secteurs de la production et des services, on doit également convenir qu'un nombre significatif de ces activités sont adaptées au handicap du recourant et ne demandent pas de mesures de réadaptation particulière. La décision de l’intimé de refuser des mesures de réadaptation est donc bien fondée. 10. Le recourant demande qu’une expertise judiciaire soit ordonnée de même qu’il soit procédé à l’audition de ses médecins traitants.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Comme cela été vu supra, les pièces au dossier permettent à la chambre de céans de se déterminer sans qu’une expertise judiciaire portant sur « l’incapacité de travail » du recourant soit nécessaire. S’agissant de l’audition des médecins</w:t>
      </w:r>
    </w:p>
    <w:p>
      <w:r>
        <w:t>A/3176/2025 - 22/23 - traitants, elle est inutile dès lors que ces derniers ont eu largement l’occasion de s’exprimer dans leurs rapports médicaux versés au dossier. Partant, en application du principe d’appréciation anticipée des preuves, les mesures d’instruction demandées sont rejetées. 11.</w:t>
      </w:r>
    </w:p>
    <w:p>
      <w:r>
        <w:t>11.1 Entièrement mal fondé, le recours sera rejeté. 11.2 Étant donné que, depuis le 1er juillet 2006, la procédure n'est plus gratuite (art. 69 al. 1bis LAI), au vu du sort du recours, il y a lieu de condamner le recourant au paiement d'un émolument de CHF 200.-.</w:t>
      </w:r>
    </w:p>
    <w:p>
      <w:r>
        <w:t>A/3176/2025 - 23/23 -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