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ATAS/211/2019 vom 18. März 2019</w:t>
      </w:r>
    </w:p>
    <w:p>
      <w:r>
        <w:t>GE Cour de justice, 2019-03-18, FR</w:t>
      </w:r>
    </w:p>
    <w:p>
      <w:r>
        <w:rPr>
          <w:b/>
        </w:rPr>
        <w:t xml:space="preserve">Quelle: </w:t>
      </w:r>
      <w:r>
        <w:t>https://mcp.opencaselaw.ch/entscheid/ge_gerichte_ATAS_211_2019</w:t>
      </w:r>
    </w:p>
    <w:p>
      <w:r>
        <w:t>FR: GE_GERICHTE ATAS/211/2019 du 18 mars 2019</w:t>
      </w:r>
    </w:p>
    <w:p>
      <w:r>
        <w:t>IT: GE_GERICHTE ATAS/211/2019 del 18 marzo 2019</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de la recourante aux prestations d'assurance est soumis à l'ancien droit (cf. dispositions</w:t>
      </w:r>
    </w:p>
    <w:p>
      <w:r>
        <w:t>A/2203/2017 - 40/53 -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Le délai de recours est de trente jours (art. 60 al. 1 LPGA). Interjeté dans la forme et le délai prévus par la loi, le recours est recevable, en vertu des art. 56ss LPGA.</w:t>
      </w:r>
    </w:p>
    <w:p>
      <w:r>
        <w:rPr>
          <w:b/>
        </w:rPr>
        <w:t>E. 5</w:t>
      </w:r>
    </w:p>
    <w:p>
      <w:r>
        <w:t>Le litige porte sur le degré d’invalidité du recourant, en particulier sur sa capacité de travail dans une activité adaptée à ses limitations fonctionnelles, sur l’existence ou non d’un lien de causalité adéquate entre l’accident du 18 mai 2007 et ses troubles psychiques, et sur le taux de l’IPAI.</w:t>
      </w:r>
    </w:p>
    <w:p>
      <w:r>
        <w:rPr>
          <w:b/>
        </w:rPr>
        <w:t>E. 6</w:t>
      </w:r>
    </w:p>
    <w:p>
      <w:r>
        <w:t>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7</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w:t>
      </w:r>
    </w:p>
    <w:p>
      <w:r>
        <w:t>A/2203/2017 - 41/53 -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8</w:t>
      </w:r>
    </w:p>
    <w:p>
      <w:r>
        <w:t>Les notions de syndrome douloureux régional complexe (CRPS - Complex regional pain syndrome en anglais), algodystrophie ou maladie de Suedeck désignent, en médecine, un état maladif post-traumatique, qui est causé par un traumatisme bénin, qui se transforme rapidement en des douleurs importantes et individualisées avec des sensations de cuisson, qui s’accompagnent de limitations fonctionnelles de type moteur, trophique ou sensori-moteur. Toute une extrémité ou une grande partie d’une zone du corps est touchée. Les causes peuvent non seulement être une distorsion d’une articulation mais aussi, par exemple, un infarctus. La discordance entre le traumatisme à l’origine, qui peut en réalité être qualifié de bagatelle, et les conséquences est importante. L’étiologie et la pathogenèse de ce syndrome ne sont pas claires. C’est pourquoi, selon la jurisprudence, pour qu’un tel syndrome puisse constituer la conséquence d’un accident, les trois critères suivants doivent être réalisés. a) la preuve d'une lésion physique (comme par exemple un hématome ou une contusion) après un accident ou l'apparition d'une algodystrophie à la suite d'une opération nécessitée par l'accident; b) l'absence d'un autre facteur causal de nature non traumatique (comme par exemple : état après infarctus du myocarde, après apoplexie, après ou lors de l’ingestion de barbituriques, lors de tumeurs, de grossesses; etc.) et une courte période de latence entre l'accident et l'apparition de l'algodystrophie, soit au maximum six à huit semaines (arrêts du Tribunal fédéral 8C_871/2010 du 4 octobre 2011 consid. 3.2 et 8C_384/2009 du 5 janvier 2010 consid. 4.2.1 in SVR 2010 UV n° 18 p. 69).</w:t>
      </w:r>
    </w:p>
    <w:p>
      <w:r>
        <w:rPr>
          <w:b/>
        </w:rPr>
        <w:t>E. 9</w:t>
      </w:r>
    </w:p>
    <w:p>
      <w:r>
        <w:t>En présence d’une boiterie ou d’un raccourcissement de la jambe, on ne peut nier le lien avec les douleurs, en cas de mauvais point d’appui, sans examen du cas concret et en se référant seulement aux études scientifiques. En effet, il existe des cas où il est prouvé qu’un mauvais point d’appui dû à un accident peut entraîner des douleurs lombaires comme cela a été jugé à plusieurs reprises par le Tribunal fédéral des assurances (voir RAMA 2003 n° U 38/01 p. 337 consid. 5.5.2).</w:t>
      </w:r>
    </w:p>
    <w:p>
      <w:r>
        <w:rPr>
          <w:b/>
        </w:rPr>
        <w:t>E. 10</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w:t>
      </w:r>
    </w:p>
    <w:p>
      <w:r>
        <w:t>A/2203/2017 - 42/53 - ATF 117 V 359 consid. 5d/bb; arrêt du Tribunal fédéral des assurances U 351/04 du 14 février 2006 consid. 3.2).</w:t>
      </w:r>
    </w:p>
    <w:p>
      <w:r>
        <w:rPr>
          <w:b/>
        </w:rPr>
        <w:t>E. 10.1</w:t>
      </w:r>
    </w:p>
    <w:p>
      <w:r>
        <w:t>Ceux-ci ont-ils été d’une durée anormalement longue ?</w:t>
      </w:r>
    </w:p>
    <w:p>
      <w:r>
        <w:rPr>
          <w:b/>
        </w:rPr>
        <w:t>E. 10.2</w:t>
      </w:r>
    </w:p>
    <w:p>
      <w:r>
        <w:t>Des erreurs dans le traitement médical se sont-elles produites, avec comme conséquence une aggravation notable des séquelles ?</w:t>
      </w:r>
    </w:p>
    <w:p>
      <w:r>
        <w:rPr>
          <w:b/>
        </w:rPr>
        <w:t>E. 10.3</w:t>
      </w:r>
    </w:p>
    <w:p>
      <w:r>
        <w:t>Les traitements sont-ils terminés ? Si non, quels traitements sont encore nécessaires ? 11. Peut-on attendre de la poursuite d’un traitement médical une notable amélioration de l’état de santé du recourant ? Si non, à partir de quel moment ne peut-on plus attendre de la continuation du traitement médical une notable amélioration de l’état de santé du recourant (état final atteint) ? Quelles atteintes restent imputables à l’accident depuis la stabilisation de l’état de santé de l’assuré ? 12. Quelles sont les limitations fonctionnelles (mouvements, activités ou astreintes qui ne peuvent plus être exécutés par le recourant) liées à chaque diagnostic retenu, puis globalement, puis au regard des seuls diagnostics en relation de causalité avec l’accident ?</w:t>
      </w:r>
    </w:p>
    <w:p>
      <w:r>
        <w:t>A/2203/2017 - 52/53 - 13. Les diagnostics retenus entraînent-ils une incapacité de travail durable ? 14. Quelle est la capacité de travail du recourant dans son activité habituelle et son évolution dans le temps depuis le 18 mai 2007, en pourcent, en distinguant les diagnostics retenus (en lien de causalité ou non avec l’accident) ? Y-a-t-il une diminution de rendement? Si oui, dans quelle mesure et en raison de quelles atteintes ? 15. Une activité lucrative adaptée aux limitations fonctionnelles occasionnées par l’accident du 18 mai 2007 est-elle raisonnablement exigible de la part du recourant ? Si oui, à quel taux et depuis quand ? Le recourant présente-t-il une diminution de rendement dans une telle activité adaptée ? Le taux a-t-il évolué ? Si oui, comment et quand ? Veuillez donner une description précise des activités adaptées. 16. Quel est le pronostic ? 17. Quel est le taux de l’indemnité pour atteinte à l’intégrité due en raison des atteintes somatiques provoquées par l’accident ? 18. Une aggravation de l’atteinte à l’intégrité est-elle prévisible ? Si oui, veuillez la quantifier. 19. Êtes-vous d’accord avec le rapport du Dr W_______ du 20 février 2017 et pourquoi ? En particulier avec les constatations objectives relatives au genou gauche, l’estimation de la capacité de travail dans une activité adaptée et le taux de l’indemnité pour atteinte à l’intégrité ? Si non, pourquoi ? 20. Êtes-vous d’accord avec le rapport d’expertise du Dr AE_______ du 13 novembre 2014 et pourquoi ? En particulier avec les diagnostics et les limitations fonctionnelles retenus, et l’estimation de la capacité de travail dans une activité adaptée à ces limitations ? Si non, pourquoi ?</w:t>
      </w:r>
    </w:p>
    <w:p>
      <w:r>
        <w:rPr>
          <w:b/>
        </w:rPr>
        <w:t>E. 11</w:t>
      </w:r>
    </w:p>
    <w:p>
      <w:r>
        <w:t>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 elle ne doit pas excéder le montant maximum du gain annuel assuré à l'époque de l'accident et elle est échelonnée selon la gravité de l'atteinte à l'intégrité (al. 1, 2ème phrase). Elle est également versée en cas de maladie professionnelle (cf. art. 9 al. 3 LAA).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 théorique de l’atteinte physique ou mentale, abstraction faite des facteurs subjectifs (ATF 115 V 147 consid. 1; ATF 113 V 218 consid. 4b et les références; voir aussi ATF 125 II 169 consid. 2d). b. Selon l’art. 36 OLAA édicté conformément à la délégation de compétence de l’art. 25 al. 2 LAA, une atteinte à l'intégrité est réputée durable lorsqu'il est prévisible qu'elle subsistera avec au moins la même gravité pendant toute la vie (al. 1, 1ère phrase) ; elle est réputée importante lorsque l'intégrité physique ou mentale subit, indépendamment de la diminution de la capacité de gain, une altération évidente ou grave (al. 1, 2ème phrase). L’indemnité pour atteinte à</w:t>
      </w:r>
    </w:p>
    <w:p>
      <w:r>
        <w:t>A/2203/2017 - 43/53 -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1ère phrase). Cette disposition a été jugée conforme à la loi en tant qu'elle définit le caractère durable de l'atteinte (ATF 133 V 224 consid. 2; arrêt du Tribunal fédéral des assurances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ATF 113 V 218 consid. 4b; RAMA 2004 p. 415; arrêt du Tribunal fédéral des assurances U 134/03 du</w:t>
      </w:r>
    </w:p>
    <w:p>
      <w:r>
        <w:rPr>
          <w:b/>
        </w:rPr>
        <w:t>E. 12</w:t>
      </w:r>
    </w:p>
    <w:p>
      <w:r>
        <w:t>Depuis le 1er janvier 2008, le montant maximum du gain assuré s’élève à CHF 126'000.- par an et CHF 346.- par jour (art. 22 al. 1 de l'ordonnance sur l'assurance-accidents, du 20 décembre 1982 [OLAA ; RS 832.202]). Entre le 1er janvier 2000 et le 31 décembre 2007, ce montant s'élevait à CHF 106'800.- par an et CHF 293.- par jour (art. 22 al. 1 aOLAA; RO 1998 2588). En cas de rechute ou de séquelles tardives, la base de calcul déterminante pour le calcul de l'indemnité pour atteinte à l'intégrité due est le montant maximum du gain annuel assuré au jour de l'accident (ATF 127 V 456 consid. 4).</w:t>
      </w:r>
    </w:p>
    <w:p>
      <w:r>
        <w:rPr>
          <w:b/>
        </w:rPr>
        <w:t>E. 13</w:t>
      </w:r>
    </w:p>
    <w:p>
      <w:r>
        <w:t>a. L’annexe 3 à l'OLAA comporte un barème - reconnu conforme à la loi et non exhaustif (ATF 113 V 218 consid. 2a;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w:t>
      </w:r>
    </w:p>
    <w:p>
      <w:r>
        <w:t>A/2203/2017 - 44/53 - où un taux inférieur à 5 % du montant maximum du gain assuré serait appliqué (ch.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 b. Lors de la fixation de l'indemnité, il sera équitablement tenu compte des aggravations prévisibles de l’atteinte à l’intégrité (art. 36 al. 4 1ère phrase OLAA). De jurisprudence constante, cette règle ne vise toutefois que les aggravations dont la survenance est vraisemblable et l'importance quantifiable (arrêt du Tribunal fédéral 8C_494/2014 du 11 décembre 2014 consid. 6.2; RAMA 1998 n° U 320 p. 602 consid. 3b). A titre d'exemples, le Tribunal fédéral a nié le caractère prévisible d'une aggravation en fonction de l'indication du médecin selon laquelle « il n'était pas impossible » que l'affection (périarthrite scapulo-humérale) entraînât « d'ici quelques années » une arthrose moyenne (RAMA 1998 p. 602 consid. 3b); à l'inverse, il a admis l'aggravation prévisible d'une arthrose du genou dans le cas où le médecin a fait état d'une telle aggravation « en raison de l'évolution toujours défavorable de l'arthrose » (arrêt du Tribunal fédéral 8C_459/2008 du 4 février 2009 consid. 2.3, in SVR 2009 UV n° 27 p. 98).</w:t>
      </w:r>
    </w:p>
    <w:p>
      <w:r>
        <w:rPr>
          <w:b/>
        </w:rPr>
        <w:t>E. 14</w:t>
      </w:r>
    </w:p>
    <w:p>
      <w:r>
        <w:t>En cas de concours de plusieurs atteintes à l’intégrité physique, mentale ou psychique, dues à un ou plusieurs accidents, l’indemnité pour atteinte à l’intégrité est fixée d’après l’ensemble du dommage. L’indemnité totale ne peut dépasser le montant maximum du gain annuel assuré. Il est tenu compte, dans le taux d’indemnisation, des indemnités déjà reçues en vertu de la loi (art. 36 al. 3 OLAA). La jurisprudence a reconnu la légalité de cette disposition réglementaire, également dans le cas où les atteintes à l'intégrité sont dues à différents accidents (arrêt du Tribunal fédéral 8C_812/2010 du 2 mai 2011 consid. 6). Selon la jurisprudence, il y a lieu d'additionner le pour cent correspondant à chacune des atteintes, même celles qui n'atteignent pas 5 % (ATF 116 V 156 consid. 3b; RAMA 1988 p. 230).</w:t>
      </w:r>
    </w:p>
    <w:p>
      <w:r>
        <w:rPr>
          <w:b/>
        </w:rPr>
        <w:t>E. 15</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t>A/2203/2017 - 45/53 -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w:t>
      </w:r>
    </w:p>
    <w:p>
      <w:r>
        <w:t>A/2203/2017 - 46/53 -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16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w:t>
      </w:r>
    </w:p>
    <w:p>
      <w:r>
        <w:t>A/2203/2017 - 47/53 - V 193 consid. 2 et les références). Aussi n’existe-t-il pas, en droit des assurances sociales, un principe selon lequel l’administration ou le juge devrait statuer, dans le doute, en faveur de l’assuré (ATF 126 V 319 consid. 5a).</w:t>
      </w:r>
    </w:p>
    <w:p>
      <w:r>
        <w:rPr>
          <w:b/>
        </w:rPr>
        <w:t>E. 17</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w:t>
      </w:r>
    </w:p>
    <w:p>
      <w:r>
        <w:rPr>
          <w:b/>
        </w:rPr>
        <w:t>E. 18</w:t>
      </w:r>
    </w:p>
    <w:p>
      <w:r>
        <w:t>a. En l’espèce, l’intimée considère que le recourant est capable de travailler à 100% dans une activité adaptée à ses limitations fonctionnelles, du point de vue somatique. Pour parvenir à cette conclusion, elle se fonde principalement sur le rapport du 20 février 2017 du Dr W_______. Quant au recourant, il conteste cette appréciation, estimant que sa capacité de travail, sur le plan orthopédique, oscille entre 40% et 50%, ce qui ressort des rapports des Drs T_______, M_______, AA_______, Y_______, Z_______, AE_______ et AF_______, du service de réadaptation de l’OAI et des EPI. b. S’agissant du rapport du 20 février 2017 du Dr W_______, il contient un résumé de l’évolution du cas d’août 2009 à février 2017, un bref résumé des plaintes du recourant, un exposé de ses constatations objectives, les diagnostics retenus et l’appréciation du cas. Cela étant, force est de constater que ce rapport ne contient pas de résumé du dossier antérieur au rapport du Dr V_______ du 18 août 2009, ni d’anamnèse du recourant à proprement parler, à l’exception d’un rappel succinct de quelques éléments anamnestiques dans le chapitre intitulé « déclarations de l’assuré ». En outre, le Dr W_______ n’a pas exposé les plaintes du recourant, se contentant de relever qu’il refusait l’appui sur son membre inférieur droit en raison d’une douleur importante et qu’il utilisait ledit membre comme « un bout de bois ». Le Dr W_______ a repris les limitations fonctionnelles et l’IPAI retenues en 2009 par le Dr V_______, sans fournir la moindre explication. Malgré le fait qu’il retienne une capacité de travail de 100% dans une activité adaptée aux limitations fonctionnelles, ce qui s’écarte notablement des conclusions de plusieurs médecins, et des EPI, le Dr W_______ ne motive pas sa position, ni ne discute les avis contraires émis par ses confrères, en particulier les Drs AE_______ et AA_______. Dans son rapport du 15 février 2011, le Dr AA_______ a notamment relevé que le recourant présentait des lombalgies basses. Dans son rapport du 30 mai 2014, ce même médecin a considéré que le périmètre de marche de l’intéressé était limité à 200 mètres, en raison des douleurs aux poignets et aux épaules, dues à l’utilisation</w:t>
      </w:r>
    </w:p>
    <w:p>
      <w:r>
        <w:t>A/2203/2017 - 48/53 - des béquilles depuis plusieurs années. Dans un bilan du 3 juillet 2014, les EPI ont constaté que le rendement du recourant (50%) n’était pas exploitable, en raison du fait qu’il n’était pas en mesure, compte tenu de ses limitations, de se déplacer, de porter de petites charges ou de se mouvoir avec aisance pour accomplir, de manière autonome, les tâches inhérentes aux activités de montage de pièces mécaniques légères et de conditionnement simple. Enfin, dans son rapport du 13 novembre 2014, le Dr AE_______ a notamment retenu les diagnostics de tendinobursite trochantérienne droite, d’épicondylite du coude droit et de lombalgies chroniques, avec des douleurs des trapèzes et de la musculature paracervicale, secondaire à des surcharges fonctionnelles. Malgré la mise en évidence de ces éléments objectifs, le Dr W_______ n’a pas abordé ces problématiques en profondeur. A la lecture de son rapports, il apparaît qu’il s’est manifestement focalisé sur l’examen des membres inférieurs du recourant. Tout au plus a-t-il indiqué avoir procédé à un examen « succinct » des membres supérieurs et de la colonne vertébrale, laquelle ne montrait pas d’anomalie pouvant être imputée à l’accident, l’intéressé étant d’accord avec cette affirmation. Compte tenu des éléments objectifs précités, cela n’est toutefois pas suffisant. En raison des lacunes dans la structure du rapport, du défaut de motivation et de l’absence de discussion des éléments objectifs concordants soulevés par les Dr AA_______ et AE_______ et par les EPI, ni le rapport, ni les conclusions du Dr W_______ ne peuvent se voir reconnaître une valeur probante. c. Quant aux différents rapports des Drs T_______, M_______, AA_______, Y_______, Z_______, AE_______ et AF_______, ils ont été établis fin 2014 au plus tard, soit plus d’une année avant que l’intimée ne mette fin au versement des indemnités journalières. Les conclusions de ces médecins, même si elles vont clairement dans le même sens, varient en ce qui concerne les diagnostics retenus, les limitations fonctionnelles présentées et la capacité résiduelle de travail du recourant dans une activité adaptée auxdites limitations, quand cette question est abordée. De plus, selon le rapport du Dr W_______ du 20 février 2017, il semblerait que le genou gauche de l’intéressé soit aujourd’hui sans instabilité résiduelle objective, ce qui serait de nature à modifier l’appréciation du cas, tant sous l’angle des limitations fonctionnelles, que de la capacité de travail dans une activité adaptée à ces limitations ou encore du taux de l’IPAI devant être retenu. Compte tenu de ces éléments, il apparaît que la décision entreprise repose, sous l’angle orthopédique, sur une instruction insuffisante pour permettre à la chambre de céans de trancher le litige, même sous l’angle de la vraisemblance prépondérante. Partant, une expertise orthopédique est nécessaire. Précisons enfin que les griefs du recourant concernant le revenu d’invalide, le lien de causalité entre ses troubles psychiques et l’accident du 18 mai 2007 et le taux de</w:t>
      </w:r>
    </w:p>
    <w:p>
      <w:r>
        <w:t>A/2203/2017 - 49/53 - l’IPAI seront tranchés ultérieurement, notamment à la lumière des conclusions de l’expertise ordonnée ce jour.</w:t>
      </w:r>
    </w:p>
    <w:p>
      <w:r>
        <w:rPr>
          <w:b/>
        </w:rPr>
        <w:t>E. 19</w:t>
      </w:r>
    </w:p>
    <w:p>
      <w:r>
        <w:t>L’intimée a requis la suppression, à la question 7, de la référence à un degré de probabilité. À cet égard, la chambre de céans constate que l’intimée ne démontre pas en quoi la notion de probabilité de plus de 50% ne correspondrait pas à la définition jurisprudentielle de la vraisemblance prépondérante, laquelle suppose que, d’un point de vue objectif, des motifs importants plaident pour l’exactitude d’une allégation, sans que d’autres possibilités ne revêtent une importance significative ou n’entrent raisonnablement en considération (ATF 139 V 176). Dans ce sens, le Tribunal fédéral a eu l’occasion de suivre les conclusions d’une expertise qui s’appuyait sur la notion de « vraisemblance prépondérante (&gt; 50 %) » (ATF du 1er mai 2017 8C_453/2016) ; par ailleurs, selon les lignes directrices pour l’expertise orthopédique (Swiss orthopaedics) de février 2017, « pour être reconnu par l’assurance sociale, un état de fait (par exemple l’imputabilité d’un trouble à un accident) doit être établi au moins avec une vraisemblance prépondérante. Une supposition ou une simple possibilité ne suffisent pas. - possibilité : vraisemblance inférieure à 50 % - vraisemblance prépondérante : (nettement) supérieure à 50 % - vraisemblance proche de la certitude : presque 100 % » (www. swissorthopaedics.ch) La notion de probabilité de plus de 50 % sera en conséquence maintenue dans la présente mission d’expertise. La question 7 sera modifiée dans ce sens.</w:t>
      </w:r>
    </w:p>
    <w:p>
      <w:r>
        <w:t>La question relative au rendement sera ajoutée à la question 15. La question 26 proposée par l’intimée sera intégrée sous la question 6b.</w:t>
      </w:r>
    </w:p>
    <w:p>
      <w:r>
        <w:rPr>
          <w:b/>
        </w:rPr>
        <w:t>E. 20</w:t>
      </w:r>
    </w:p>
    <w:p>
      <w:r>
        <w:t>L’intimée estime qu’un expert spécialisé dans le domaine du genou doit être désigné en lieu et place du Dr AJ_______. Cet argument n’est toutefois pas pertinent, le Dr AJ_______ disposant d’une spécialisation en orthopédie et traumatologie de l’appareil locomoteur, amplement suffisante pour lui permettre d’analyser la problématique orthopédique du recourant, laquelle est d’ailleurs, selon les éléments du dossier, plus large qu’une seule atteinte aux genoux. Par ailleurs, le secrétariat du Dr AJ_______ a précisé le 26 février 2019 que celui-ci s’occupait principalement de problèmes d’épaules et de genoux. Enfin, les médecins proposés par les parties ne souhaitent pas procéder à une expertise.</w:t>
      </w:r>
    </w:p>
    <w:p>
      <w:r>
        <w:rPr>
          <w:b/>
        </w:rPr>
        <w:t>E. 21</w:t>
      </w:r>
    </w:p>
    <w:p>
      <w:r>
        <w:t>Êtes-vous d’accord avec le bilan intermédiaire du 3 juillet 2014 et le rapport final du 21 août 2014 des EPI et pourquoi ?</w:t>
      </w:r>
    </w:p>
    <w:p>
      <w:r>
        <w:t>A/2203/2017 - 53/53 - En particulier avec les affirmations selon lesquelles le rendement observé était inexploitable et le recourant ne pourrait pas intégrer le marché ordinaire dans une activité même simple légère et répétitive ? Si non, pourquoi ?</w:t>
      </w:r>
    </w:p>
    <w:p>
      <w:r>
        <w:rPr>
          <w:b/>
        </w:rPr>
        <w:t>E. 22</w:t>
      </w:r>
    </w:p>
    <w:p>
      <w:r>
        <w:t>Êtes-vous d’accord avec les rapports du Dr AA_______ des 15 février 2011 et 30 mai 2014 et pourquoi ? En particulier avec les diagnostics et limitations fonctionnelles retenus, et l’estimation de la capacité de travail dans une activité adaptée à ces limitations ? Si non, pourquoi ?</w:t>
      </w:r>
    </w:p>
    <w:p>
      <w:r>
        <w:rPr>
          <w:b/>
        </w:rPr>
        <w:t>E. 23</w:t>
      </w:r>
    </w:p>
    <w:p>
      <w:r>
        <w:t>Êtes-vous d’accord avec le rapport du Dr T_______ du 20 août 2010 et pourquoi ? En particulier avec la capacité de travail dans une activité adaptée ? Si non, pourquoi ?</w:t>
      </w:r>
    </w:p>
    <w:p>
      <w:r>
        <w:rPr>
          <w:b/>
        </w:rPr>
        <w:t>E. 24</w:t>
      </w:r>
    </w:p>
    <w:p>
      <w:r>
        <w:t>Existe-t-il des douleurs physiques persistantes ? Atteignent-elles une intensité particulière ? Si oui, depuis quand ? Y a-t-il eu des variations ? Ces douleurs doivent-elles être rattachées à un substrat organique permettant d’expliquer objectivement l’importance des plaintes ?</w:t>
      </w:r>
    </w:p>
    <w:p>
      <w:r>
        <w:rPr>
          <w:b/>
        </w:rPr>
        <w:t>E. 25</w:t>
      </w:r>
    </w:p>
    <w:p>
      <w:r>
        <w:t>Des mesures de réadaptation professionnelle sont-elles actuellement envisageables ? 3. Faire toutes autres observations ou suggestions utiles. 4. Invite l’expert(e) à déposer à sa meilleure convenance un rapport en trois exemplaires à la chambre de céans. 5. Réserve le sort des frais jusqu’à droit jugé au fond.</w:t>
      </w:r>
    </w:p>
    <w:p>
      <w:r>
        <w:t>La greffière</w:t>
      </w:r>
    </w:p>
    <w:p>
      <w:r>
        <w:t>Julia BARRY</w:t>
      </w:r>
    </w:p>
    <w:p>
      <w:r>
        <w:t>La présidente</w:t>
      </w:r>
    </w:p>
    <w:p>
      <w:r>
        <w:t>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