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ATAS/211/2014 vom 18. Februar 2014</w:t>
      </w:r>
    </w:p>
    <w:p>
      <w:r>
        <w:t>GE Cour de justice, 2014-02-18, FR</w:t>
      </w:r>
    </w:p>
    <w:p>
      <w:r>
        <w:rPr>
          <w:b/>
        </w:rPr>
        <w:t xml:space="preserve">Quelle: </w:t>
      </w:r>
      <w:r>
        <w:t>https://mcp.opencaselaw.ch/entscheid/ge_gerichte_ATAS_211_2014</w:t>
      </w:r>
    </w:p>
    <w:p>
      <w:r>
        <w:t>FR: GE_GERICHTE ATAS/211/2014 du 18 février 2014</w:t>
      </w:r>
    </w:p>
    <w:p>
      <w:r>
        <w:t>IT: GE_GERICHTE ATAS/211/2014 del 18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présent recours est recevable (art. 39 al. 1 et 60 al. 2 LPGA).</w:t>
      </w:r>
    </w:p>
    <w:p>
      <w:r>
        <w:rPr>
          <w:b/>
        </w:rPr>
        <w:t>E. 3</w:t>
      </w:r>
    </w:p>
    <w:p>
      <w:r>
        <w:t>Le litige porte sur le droit de l’assuré à des prestations AI.</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w:t>
      </w:r>
    </w:p>
    <w:p>
      <w:r>
        <w:t>A/1400/2013 - 6/11 -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A/1400/2013 - 7/11 -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rPr>
          <w:b/>
        </w:rPr>
        <w:t>E. 12</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(ATFA non publié I 750/04 du 5 avril 2006 consid. 5.3, in SVR 2007 IV n° 1 p. 1; ATFA non publié I 11/00 du 22 août 2001 consid. 5a/bb, in VSI 2001 p. 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w:t>
      </w:r>
    </w:p>
    <w:p>
      <w:r>
        <w:t>A/1400/2013 - 8/11 -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HÜRZELER, Prävention im Haftpflicht- und Sozialversicherungsrecht, in Prävention im Recht, 2007, p. 172 sv.).</w:t>
      </w:r>
    </w:p>
    <w:p>
      <w:r>
        <w:rPr>
          <w:b/>
        </w:rPr>
        <w:t>E. 13</w:t>
      </w:r>
    </w:p>
    <w:p>
      <w:r>
        <w:t>En l’espèce, l’OAI a rejeté la demande de prestations AI déposée par l’assuré, au motif que, selon le Dr B__________, sa capacité de travail est de 70% dans l’activité habituelle et de 100% dans une activité adaptée, ce dès le 1er décembre 2012. Le Dr B__________ a en effet indiqué que la capacité de travail de son patient, dans une activité strictement adaptée à son atteinte, était entière, étant précisé qu’il lui était devenu difficile de voyager, d’où les 30% d’incapacité.</w:t>
      </w:r>
    </w:p>
    <w:p>
      <w:r>
        <w:rPr>
          <w:b/>
        </w:rPr>
        <w:t>E. 14</w:t>
      </w:r>
    </w:p>
    <w:p>
      <w:r>
        <w:t>L’assuré a contesté ces taux, rappelant que selon le Dr A__________, sa capacité de travail dans une activité adaptée était restée de 50% depuis le 11 mars 2012. L’assuré a au surplus produit les décomptes de la ZURICH ASSURANCES attestant plus particulièrement d’une capacité de travail à 50% seulement du 11 mars au 29 novembre 2011. Il ajoute qu’il n’a du reste pas repris son activité à plein temps et qu’il a continué à travailler en moyenne quatre heures par jour.</w:t>
      </w:r>
    </w:p>
    <w:p>
      <w:r>
        <w:rPr>
          <w:b/>
        </w:rPr>
        <w:t>E. 15</w:t>
      </w:r>
    </w:p>
    <w:p>
      <w:r>
        <w:t>Il y a lieu de relever que tant le Dr A__________ que le Dr B__________ posent le même diagnostic et décrivent les mêmes limitations fonctionnelles. Ils n’estiment cependant pas de la même manière la capacité de travail de l’assuré. Le premier considère que la capacité dans l’activité antérieure comme dans une activité adaptée est de 50% dès le 11 mars 2012, alors que le second évalue la capacité de travail à 70% - l’incapacité de 30% représentant les voyages que l’assuré ne peut plus assumer - dès novembre 2012. Ce médecin, faisant état d'une amélioration de l'état de santé, porte la capacité de travail à 100% dès décembre 2012 dans une activité adaptée. L’OAI a ainsi conclu, sur la base des conclusions du Dr B__________, que l’assuré présentait une capacité de travail entière dans une activité adaptée, laquelle correspondait précisément à celle qu'il continuait d'exercer. Or, l'activité adaptée dans le cas d'espèce est celle dans le cadre de laquelle aucun voyage ne peut être envisagé. Il convient dès lors de retenir une capacité de travail de 70%.</w:t>
      </w:r>
    </w:p>
    <w:p>
      <w:r>
        <w:t>A/1400/2013 - 9/11 - Les conclusions du Dr A__________ ne permettent pas de s’écarter de ce taux, dans la mesure où ce médecin se borne à motiver le taux de 50% par le fait que la maladie dont l’assuré souffre entraîne des limitations fonctionnelles « tout à fait nettes ». L'assuré allègue avoir continué à travailler à hauteur de 4 heures par jour en moyenne. Le taux d’activité exercé effectivement n’est cependant pas déterminant. Selon la jurisprudence en effet,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16</w:t>
      </w:r>
    </w:p>
    <w:p>
      <w:r>
        <w:t>La Cour de céans retiendra dès lors une capacité de travail de 70% dans l’activité habituelle que l’assuré a continué d’exercer.</w:t>
      </w:r>
    </w:p>
    <w:p>
      <w:r>
        <w:rPr>
          <w:b/>
        </w:rPr>
        <w:t>E. 17</w:t>
      </w:r>
    </w:p>
    <w:p>
      <w:r>
        <w:t>Reste à déterminer le degré d'invalidité.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Ce n'est qu'en présence de circonstances particulières qu'il peut se justifier qu'on s'en écarte et qu'on recoure aux données statistiques résultant de l'Enquête suisse sur la structure des salaires (ESS) édité par l'Office fédéral de la statistique. Tel sera</w:t>
      </w:r>
    </w:p>
    <w:p>
      <w:r>
        <w:t>A/1400/2013 - 10/11 -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(cf. consid. 5.2.2 de l'arrêt T. précité du 17 octobre 2003 et les références). c)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d) Dans le cas toutefois où, comme en l'espèce, l’assuré a continué à exercer la même activité, l’incapacité de travail se confond avec le degré d’invalidité. La comparaison des gains se détermine en effet par rapport à son taux d'activité avant l'invalidité et celui après la survenance de l'invalidité, ce qui donne un degré d’invalidité de 30%. Or, ce taux n’ouvre pas le droit à une rente d’invalidité (art. 28 al. 2 LAI).</w:t>
      </w:r>
    </w:p>
    <w:p>
      <w:r>
        <w:rPr>
          <w:b/>
        </w:rPr>
        <w:t>E. 18</w:t>
      </w:r>
    </w:p>
    <w:p>
      <w:r>
        <w:t>La prise en charge de mesures de réadaptation professionnelle ne se justifie pas non plus, compte tenu de son âge et du fait qu’il exerce la même profession.</w:t>
      </w:r>
    </w:p>
    <w:p>
      <w:r>
        <w:rPr>
          <w:b/>
        </w:rPr>
        <w:t>E. 19</w:t>
      </w:r>
    </w:p>
    <w:p>
      <w:r>
        <w:t>Force est ainsi de constater que l’assuré présente en l'état un degré d’invalidité insuffisant pour ouvrir le droit à des mesures de réadaptation professionnelle ou à une rente d'invalidité. Aussi le recours ne peut-il être que rejeté.</w:t>
      </w:r>
    </w:p>
    <w:p>
      <w:r>
        <w:t>A/1400/2013 - 11/11 -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